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DFC9B0">
      <w:pPr>
        <w:spacing w:after="320" w:line="265" w:lineRule="auto"/>
        <w:ind w:left="10" w:right="0" w:hanging="10"/>
        <w:jc w:val="center"/>
      </w:pPr>
      <w:r>
        <w:rPr>
          <w:rFonts w:ascii="微软雅黑" w:hAnsi="微软雅黑" w:eastAsia="微软雅黑" w:cs="微软雅黑"/>
          <w:sz w:val="72"/>
        </w:rPr>
        <w:t>研发费用加计扣除</w:t>
      </w:r>
    </w:p>
    <w:p w14:paraId="029D799C">
      <w:pPr>
        <w:spacing w:after="320" w:line="265" w:lineRule="auto"/>
        <w:ind w:left="10" w:right="0" w:hanging="10"/>
        <w:jc w:val="center"/>
      </w:pPr>
      <w:r>
        <w:rPr>
          <w:rFonts w:ascii="微软雅黑" w:hAnsi="微软雅黑" w:eastAsia="微软雅黑" w:cs="微软雅黑"/>
          <w:sz w:val="72"/>
        </w:rPr>
        <w:t>政策执行指引</w:t>
      </w:r>
    </w:p>
    <w:p w14:paraId="4A5A1B67">
      <w:pPr>
        <w:spacing w:after="3538" w:line="265" w:lineRule="auto"/>
        <w:ind w:left="10" w:right="0" w:hanging="10"/>
        <w:jc w:val="center"/>
      </w:pPr>
      <w:r>
        <w:rPr>
          <w:rFonts w:ascii="微软雅黑" w:hAnsi="微软雅黑" w:eastAsia="微软雅黑" w:cs="微软雅黑"/>
          <w:sz w:val="72"/>
        </w:rPr>
        <w:t>（2.0 版）</w:t>
      </w:r>
    </w:p>
    <w:p w14:paraId="34FB84FC">
      <w:pPr>
        <w:spacing w:after="311" w:line="259" w:lineRule="auto"/>
        <w:ind w:right="0" w:firstLine="0"/>
      </w:pPr>
      <w:r>
        <w:rPr>
          <w:rFonts w:ascii="黑体" w:hAnsi="黑体" w:eastAsia="黑体" w:cs="黑体"/>
          <w:sz w:val="36"/>
        </w:rPr>
        <w:t>国家税务总局所得税司 科技部政策法规与创新体系建设司</w:t>
      </w:r>
    </w:p>
    <w:p w14:paraId="3F512D33">
      <w:pPr>
        <w:spacing w:after="0" w:line="259" w:lineRule="auto"/>
        <w:ind w:right="2" w:firstLine="0"/>
        <w:jc w:val="center"/>
      </w:pPr>
      <w:r>
        <w:rPr>
          <w:rFonts w:ascii="黑体" w:hAnsi="黑体" w:eastAsia="黑体" w:cs="黑体"/>
          <w:sz w:val="36"/>
        </w:rPr>
        <w:t>2023年7月</w:t>
      </w:r>
    </w:p>
    <w:p w14:paraId="65D4F657">
      <w:pPr>
        <w:spacing w:after="469" w:line="259" w:lineRule="auto"/>
        <w:ind w:right="209" w:firstLine="0"/>
        <w:jc w:val="center"/>
      </w:pPr>
      <w:r>
        <w:rPr>
          <w:rFonts w:ascii="微软雅黑" w:hAnsi="微软雅黑" w:eastAsia="微软雅黑" w:cs="微软雅黑"/>
          <w:sz w:val="36"/>
        </w:rPr>
        <w:t>修订说明</w:t>
      </w:r>
    </w:p>
    <w:p w14:paraId="7DABD441">
      <w:pPr>
        <w:spacing w:after="0" w:line="361" w:lineRule="auto"/>
        <w:ind w:left="26" w:right="0" w:firstLine="628"/>
      </w:pPr>
      <w:r>
        <w:rPr>
          <w:sz w:val="32"/>
        </w:rPr>
        <w:t>2018年，税务总局所得税司在科技部政策法规与创新体系建设司的大力支持下，首次发布《研发费用加计扣除政策执行指引（1.0版）》，从政策概述、主要内容、核算要求、备案和申报管理等方面对研发费用加计扣除政策进行了全面解读，在指导基层税务人员理解把握政策，帮助企业及时、充分、准确享受政策红利方面发挥了积极作用。</w:t>
      </w:r>
    </w:p>
    <w:p w14:paraId="23766AD6">
      <w:pPr>
        <w:spacing w:after="0" w:line="361" w:lineRule="auto"/>
        <w:ind w:left="26" w:right="0" w:firstLine="628"/>
      </w:pPr>
      <w:r>
        <w:rPr>
          <w:sz w:val="32"/>
        </w:rPr>
        <w:t>为全面贯彻习近平新时代中国特色社会主义思想主题教育要求，更好地落实税收优惠政策，税务总局所得税司联合科技部政策法规与创新体系建设司对现行研发费用加计扣除相关政策进行梳理、提炼、整合，编写了《研发费用加计扣除政策执行指引（2.0 版）》，力求全方位、多维度、深层次、更精炼地展示政策要义。</w:t>
      </w:r>
    </w:p>
    <w:p w14:paraId="3F884558">
      <w:pPr>
        <w:spacing w:after="176" w:line="259" w:lineRule="auto"/>
        <w:ind w:right="89" w:firstLine="0"/>
        <w:jc w:val="right"/>
      </w:pPr>
      <w:r>
        <w:rPr>
          <w:sz w:val="32"/>
        </w:rPr>
        <w:t>需要说明的是，《研发费用加计扣除政策执行指引（2.0版）》</w:t>
      </w:r>
    </w:p>
    <w:p w14:paraId="37201C3E">
      <w:pPr>
        <w:spacing w:after="325" w:line="361" w:lineRule="auto"/>
        <w:ind w:left="26" w:right="0" w:firstLine="0"/>
      </w:pPr>
      <w:r>
        <w:rPr>
          <w:sz w:val="32"/>
        </w:rPr>
        <w:t>仅旨在方便读者查找和充分理解现行研发费用加计扣除政策，不是税收执法或申请享受政策的依据。政策执行请以正式文件为准。</w:t>
      </w:r>
      <w:r>
        <w:rPr>
          <w:rFonts w:ascii="黑体" w:hAnsi="黑体" w:eastAsia="黑体" w:cs="黑体"/>
          <w:sz w:val="32"/>
        </w:rPr>
        <w:t>目 录</w:t>
      </w:r>
    </w:p>
    <w:sdt>
      <w:sdtPr>
        <w:rPr>
          <w:rFonts w:ascii="仿宋" w:hAnsi="仿宋" w:eastAsia="仿宋" w:cs="仿宋"/>
          <w:sz w:val="28"/>
        </w:rPr>
        <w:id w:val="-2089305669"/>
        <w:docPartObj>
          <w:docPartGallery w:val="Table of Contents"/>
          <w:docPartUnique/>
        </w:docPartObj>
      </w:sdtPr>
      <w:sdtEndPr>
        <w:rPr>
          <w:rFonts w:ascii="仿宋" w:hAnsi="仿宋" w:eastAsia="仿宋" w:cs="仿宋"/>
          <w:sz w:val="28"/>
        </w:rPr>
      </w:sdtEndPr>
      <w:sdtContent>
        <w:p w14:paraId="751E5AC5">
          <w:pPr>
            <w:pStyle w:val="5"/>
            <w:tabs>
              <w:tab w:val="right" w:leader="dot" w:pos="9360"/>
            </w:tabs>
          </w:pPr>
          <w:r>
            <w:fldChar w:fldCharType="begin"/>
          </w:r>
          <w:r>
            <w:instrText xml:space="preserve"> TOC \o "1-2" \h \z \u </w:instrText>
          </w:r>
          <w:r>
            <w:fldChar w:fldCharType="separate"/>
          </w:r>
          <w:r>
            <w:fldChar w:fldCharType="begin"/>
          </w:r>
          <w:r>
            <w:instrText xml:space="preserve"> HYPERLINK \l "_Toc30226" \h </w:instrText>
          </w:r>
          <w:r>
            <w:fldChar w:fldCharType="separate"/>
          </w:r>
          <w:r>
            <w:rPr>
              <w:rFonts w:ascii="黑体" w:hAnsi="黑体" w:eastAsia="黑体" w:cs="黑体"/>
            </w:rPr>
            <w:t>一、研发费用加计扣除政策概述</w:t>
          </w:r>
          <w:r>
            <w:tab/>
          </w:r>
          <w:r>
            <w:fldChar w:fldCharType="begin"/>
          </w:r>
          <w:r>
            <w:instrText xml:space="preserve">PAGEREF _Toc30226 \h</w:instrText>
          </w:r>
          <w:r>
            <w:fldChar w:fldCharType="separate"/>
          </w:r>
          <w:r>
            <w:rPr>
              <w:rFonts w:ascii="仿宋" w:hAnsi="仿宋" w:eastAsia="仿宋" w:cs="仿宋"/>
            </w:rPr>
            <w:t>1</w:t>
          </w:r>
          <w:r>
            <w:fldChar w:fldCharType="end"/>
          </w:r>
          <w:r>
            <w:fldChar w:fldCharType="end"/>
          </w:r>
        </w:p>
        <w:p w14:paraId="73B643F0">
          <w:pPr>
            <w:pStyle w:val="6"/>
            <w:tabs>
              <w:tab w:val="right" w:leader="dot" w:pos="9360"/>
            </w:tabs>
          </w:pPr>
          <w:r>
            <w:fldChar w:fldCharType="begin"/>
          </w:r>
          <w:r>
            <w:instrText xml:space="preserve"> HYPERLINK \l "_Toc30227" \h </w:instrText>
          </w:r>
          <w:r>
            <w:fldChar w:fldCharType="separate"/>
          </w:r>
          <w:r>
            <w:rPr>
              <w:rFonts w:ascii="楷体" w:hAnsi="楷体" w:eastAsia="楷体" w:cs="楷体"/>
            </w:rPr>
            <w:t>（一）政策要点</w:t>
          </w:r>
          <w:r>
            <w:tab/>
          </w:r>
          <w:r>
            <w:fldChar w:fldCharType="begin"/>
          </w:r>
          <w:r>
            <w:instrText xml:space="preserve">PAGEREF _Toc30227 \h</w:instrText>
          </w:r>
          <w:r>
            <w:fldChar w:fldCharType="separate"/>
          </w:r>
          <w:r>
            <w:rPr>
              <w:rFonts w:ascii="仿宋" w:hAnsi="仿宋" w:eastAsia="仿宋" w:cs="仿宋"/>
            </w:rPr>
            <w:t>1</w:t>
          </w:r>
          <w:r>
            <w:fldChar w:fldCharType="end"/>
          </w:r>
          <w:r>
            <w:fldChar w:fldCharType="end"/>
          </w:r>
        </w:p>
        <w:p w14:paraId="1C9FABBD">
          <w:pPr>
            <w:pStyle w:val="6"/>
            <w:tabs>
              <w:tab w:val="right" w:leader="dot" w:pos="9360"/>
            </w:tabs>
          </w:pPr>
          <w:r>
            <w:fldChar w:fldCharType="begin"/>
          </w:r>
          <w:r>
            <w:instrText xml:space="preserve"> HYPERLINK \l "_Toc30228" \h </w:instrText>
          </w:r>
          <w:r>
            <w:fldChar w:fldCharType="separate"/>
          </w:r>
          <w:r>
            <w:rPr>
              <w:rFonts w:ascii="楷体" w:hAnsi="楷体" w:eastAsia="楷体" w:cs="楷体"/>
            </w:rPr>
            <w:t>（二）政策沿革</w:t>
          </w:r>
          <w:r>
            <w:tab/>
          </w:r>
          <w:r>
            <w:fldChar w:fldCharType="begin"/>
          </w:r>
          <w:r>
            <w:instrText xml:space="preserve">PAGEREF _Toc30228 \h</w:instrText>
          </w:r>
          <w:r>
            <w:fldChar w:fldCharType="separate"/>
          </w:r>
          <w:r>
            <w:rPr>
              <w:rFonts w:ascii="仿宋" w:hAnsi="仿宋" w:eastAsia="仿宋" w:cs="仿宋"/>
            </w:rPr>
            <w:t>2</w:t>
          </w:r>
          <w:r>
            <w:fldChar w:fldCharType="end"/>
          </w:r>
          <w:r>
            <w:fldChar w:fldCharType="end"/>
          </w:r>
        </w:p>
        <w:p w14:paraId="2B75A149">
          <w:pPr>
            <w:pStyle w:val="6"/>
            <w:tabs>
              <w:tab w:val="right" w:leader="dot" w:pos="9360"/>
            </w:tabs>
          </w:pPr>
          <w:r>
            <w:fldChar w:fldCharType="begin"/>
          </w:r>
          <w:r>
            <w:instrText xml:space="preserve"> HYPERLINK \l "_Toc30229" \h </w:instrText>
          </w:r>
          <w:r>
            <w:fldChar w:fldCharType="separate"/>
          </w:r>
          <w:r>
            <w:rPr>
              <w:rFonts w:ascii="楷体" w:hAnsi="楷体" w:eastAsia="楷体" w:cs="楷体"/>
            </w:rPr>
            <w:t>（三）研发费用加计扣除与据实扣除的概念</w:t>
          </w:r>
          <w:r>
            <w:tab/>
          </w:r>
          <w:r>
            <w:fldChar w:fldCharType="begin"/>
          </w:r>
          <w:r>
            <w:instrText xml:space="preserve">PAGEREF _Toc30229 \h</w:instrText>
          </w:r>
          <w:r>
            <w:fldChar w:fldCharType="separate"/>
          </w:r>
          <w:r>
            <w:rPr>
              <w:rFonts w:ascii="仿宋" w:hAnsi="仿宋" w:eastAsia="仿宋" w:cs="仿宋"/>
            </w:rPr>
            <w:t>4</w:t>
          </w:r>
          <w:r>
            <w:fldChar w:fldCharType="end"/>
          </w:r>
          <w:r>
            <w:fldChar w:fldCharType="end"/>
          </w:r>
        </w:p>
        <w:p w14:paraId="0C1E9A77">
          <w:pPr>
            <w:pStyle w:val="5"/>
            <w:tabs>
              <w:tab w:val="right" w:leader="dot" w:pos="9360"/>
            </w:tabs>
          </w:pPr>
          <w:r>
            <w:fldChar w:fldCharType="begin"/>
          </w:r>
          <w:r>
            <w:instrText xml:space="preserve"> HYPERLINK \l "_Toc30230" \h </w:instrText>
          </w:r>
          <w:r>
            <w:fldChar w:fldCharType="separate"/>
          </w:r>
          <w:r>
            <w:rPr>
              <w:rFonts w:ascii="黑体" w:hAnsi="黑体" w:eastAsia="黑体" w:cs="黑体"/>
            </w:rPr>
            <w:t>二、研发活动界定</w:t>
          </w:r>
          <w:r>
            <w:tab/>
          </w:r>
          <w:r>
            <w:fldChar w:fldCharType="begin"/>
          </w:r>
          <w:r>
            <w:instrText xml:space="preserve">PAGEREF _Toc30230 \h</w:instrText>
          </w:r>
          <w:r>
            <w:fldChar w:fldCharType="separate"/>
          </w:r>
          <w:r>
            <w:rPr>
              <w:rFonts w:ascii="仿宋" w:hAnsi="仿宋" w:eastAsia="仿宋" w:cs="仿宋"/>
            </w:rPr>
            <w:t>5</w:t>
          </w:r>
          <w:r>
            <w:fldChar w:fldCharType="end"/>
          </w:r>
          <w:r>
            <w:fldChar w:fldCharType="end"/>
          </w:r>
        </w:p>
        <w:p w14:paraId="3E025F5D">
          <w:pPr>
            <w:pStyle w:val="6"/>
            <w:tabs>
              <w:tab w:val="right" w:leader="dot" w:pos="9360"/>
            </w:tabs>
          </w:pPr>
          <w:r>
            <w:fldChar w:fldCharType="begin"/>
          </w:r>
          <w:r>
            <w:instrText xml:space="preserve"> HYPERLINK \l "_Toc30231" \h </w:instrText>
          </w:r>
          <w:r>
            <w:fldChar w:fldCharType="separate"/>
          </w:r>
          <w:r>
            <w:rPr>
              <w:rFonts w:ascii="楷体" w:hAnsi="楷体" w:eastAsia="楷体" w:cs="楷体"/>
            </w:rPr>
            <w:t>（一）研发活动的概念与类型</w:t>
          </w:r>
          <w:r>
            <w:tab/>
          </w:r>
          <w:r>
            <w:fldChar w:fldCharType="begin"/>
          </w:r>
          <w:r>
            <w:instrText xml:space="preserve">PAGEREF _Toc30231 \h</w:instrText>
          </w:r>
          <w:r>
            <w:fldChar w:fldCharType="separate"/>
          </w:r>
          <w:r>
            <w:rPr>
              <w:rFonts w:ascii="仿宋" w:hAnsi="仿宋" w:eastAsia="仿宋" w:cs="仿宋"/>
            </w:rPr>
            <w:t>5</w:t>
          </w:r>
          <w:r>
            <w:fldChar w:fldCharType="end"/>
          </w:r>
          <w:r>
            <w:fldChar w:fldCharType="end"/>
          </w:r>
        </w:p>
        <w:p w14:paraId="553831CF">
          <w:pPr>
            <w:pStyle w:val="6"/>
            <w:tabs>
              <w:tab w:val="right" w:leader="dot" w:pos="9360"/>
            </w:tabs>
          </w:pPr>
          <w:r>
            <w:fldChar w:fldCharType="begin"/>
          </w:r>
          <w:r>
            <w:instrText xml:space="preserve"> HYPERLINK \l "_Toc30232" \h </w:instrText>
          </w:r>
          <w:r>
            <w:fldChar w:fldCharType="separate"/>
          </w:r>
          <w:r>
            <w:rPr>
              <w:rFonts w:ascii="楷体" w:hAnsi="楷体" w:eastAsia="楷体" w:cs="楷体"/>
            </w:rPr>
            <w:t>（二）研发活动判断的基本要点</w:t>
          </w:r>
          <w:r>
            <w:tab/>
          </w:r>
          <w:r>
            <w:fldChar w:fldCharType="begin"/>
          </w:r>
          <w:r>
            <w:instrText xml:space="preserve">PAGEREF _Toc30232 \h</w:instrText>
          </w:r>
          <w:r>
            <w:fldChar w:fldCharType="separate"/>
          </w:r>
          <w:r>
            <w:rPr>
              <w:rFonts w:ascii="仿宋" w:hAnsi="仿宋" w:eastAsia="仿宋" w:cs="仿宋"/>
            </w:rPr>
            <w:t>6</w:t>
          </w:r>
          <w:r>
            <w:fldChar w:fldCharType="end"/>
          </w:r>
          <w:r>
            <w:fldChar w:fldCharType="end"/>
          </w:r>
        </w:p>
        <w:p w14:paraId="769A7FB9">
          <w:pPr>
            <w:pStyle w:val="6"/>
            <w:tabs>
              <w:tab w:val="right" w:leader="dot" w:pos="9360"/>
            </w:tabs>
          </w:pPr>
          <w:r>
            <w:fldChar w:fldCharType="begin"/>
          </w:r>
          <w:r>
            <w:instrText xml:space="preserve"> HYPERLINK \l "_Toc30233" \h </w:instrText>
          </w:r>
          <w:r>
            <w:fldChar w:fldCharType="separate"/>
          </w:r>
          <w:r>
            <w:rPr>
              <w:rFonts w:ascii="楷体" w:hAnsi="楷体" w:eastAsia="楷体" w:cs="楷体"/>
            </w:rPr>
            <w:t>（三）不适用加计扣除政策的活动</w:t>
          </w:r>
          <w:r>
            <w:tab/>
          </w:r>
          <w:r>
            <w:fldChar w:fldCharType="begin"/>
          </w:r>
          <w:r>
            <w:instrText xml:space="preserve">PAGEREF _Toc30233 \h</w:instrText>
          </w:r>
          <w:r>
            <w:fldChar w:fldCharType="separate"/>
          </w:r>
          <w:r>
            <w:rPr>
              <w:rFonts w:ascii="仿宋" w:hAnsi="仿宋" w:eastAsia="仿宋" w:cs="仿宋"/>
            </w:rPr>
            <w:t>7</w:t>
          </w:r>
          <w:r>
            <w:fldChar w:fldCharType="end"/>
          </w:r>
          <w:r>
            <w:fldChar w:fldCharType="end"/>
          </w:r>
        </w:p>
        <w:p w14:paraId="27CCC232">
          <w:pPr>
            <w:pStyle w:val="6"/>
            <w:tabs>
              <w:tab w:val="right" w:leader="dot" w:pos="9360"/>
            </w:tabs>
          </w:pPr>
          <w:r>
            <w:fldChar w:fldCharType="begin"/>
          </w:r>
          <w:r>
            <w:instrText xml:space="preserve"> HYPERLINK \l "_Toc30234" \h </w:instrText>
          </w:r>
          <w:r>
            <w:fldChar w:fldCharType="separate"/>
          </w:r>
          <w:r>
            <w:rPr>
              <w:rFonts w:ascii="楷体" w:hAnsi="楷体" w:eastAsia="楷体" w:cs="楷体"/>
            </w:rPr>
            <w:t>（四）研发活动判断的边界与说明</w:t>
          </w:r>
          <w:r>
            <w:tab/>
          </w:r>
          <w:r>
            <w:fldChar w:fldCharType="begin"/>
          </w:r>
          <w:r>
            <w:instrText xml:space="preserve">PAGEREF _Toc30234 \h</w:instrText>
          </w:r>
          <w:r>
            <w:fldChar w:fldCharType="separate"/>
          </w:r>
          <w:r>
            <w:rPr>
              <w:rFonts w:ascii="仿宋" w:hAnsi="仿宋" w:eastAsia="仿宋" w:cs="仿宋"/>
            </w:rPr>
            <w:t>8</w:t>
          </w:r>
          <w:r>
            <w:fldChar w:fldCharType="end"/>
          </w:r>
          <w:r>
            <w:fldChar w:fldCharType="end"/>
          </w:r>
        </w:p>
        <w:p w14:paraId="7B3D8C77">
          <w:pPr>
            <w:pStyle w:val="5"/>
            <w:tabs>
              <w:tab w:val="right" w:leader="dot" w:pos="9360"/>
            </w:tabs>
          </w:pPr>
          <w:r>
            <w:fldChar w:fldCharType="begin"/>
          </w:r>
          <w:r>
            <w:instrText xml:space="preserve"> HYPERLINK \l "_Toc30235" \h </w:instrText>
          </w:r>
          <w:r>
            <w:fldChar w:fldCharType="separate"/>
          </w:r>
          <w:r>
            <w:rPr>
              <w:rFonts w:ascii="黑体" w:hAnsi="黑体" w:eastAsia="黑体" w:cs="黑体"/>
            </w:rPr>
            <w:t>三、研发项目管理</w:t>
          </w:r>
          <w:r>
            <w:tab/>
          </w:r>
          <w:r>
            <w:fldChar w:fldCharType="begin"/>
          </w:r>
          <w:r>
            <w:instrText xml:space="preserve">PAGEREF _Toc30235 \h</w:instrText>
          </w:r>
          <w:r>
            <w:fldChar w:fldCharType="separate"/>
          </w:r>
          <w:r>
            <w:rPr>
              <w:rFonts w:ascii="仿宋" w:hAnsi="仿宋" w:eastAsia="仿宋" w:cs="仿宋"/>
            </w:rPr>
            <w:t>11</w:t>
          </w:r>
          <w:r>
            <w:fldChar w:fldCharType="end"/>
          </w:r>
          <w:r>
            <w:fldChar w:fldCharType="end"/>
          </w:r>
        </w:p>
        <w:p w14:paraId="70CFCBBB">
          <w:pPr>
            <w:pStyle w:val="6"/>
            <w:tabs>
              <w:tab w:val="right" w:leader="dot" w:pos="9360"/>
            </w:tabs>
          </w:pPr>
          <w:r>
            <w:fldChar w:fldCharType="begin"/>
          </w:r>
          <w:r>
            <w:instrText xml:space="preserve"> HYPERLINK \l "_Toc30236" \h </w:instrText>
          </w:r>
          <w:r>
            <w:fldChar w:fldCharType="separate"/>
          </w:r>
          <w:r>
            <w:rPr>
              <w:rFonts w:ascii="楷体" w:hAnsi="楷体" w:eastAsia="楷体" w:cs="楷体"/>
            </w:rPr>
            <w:t>（一）研发项目的组织形式</w:t>
          </w:r>
          <w:r>
            <w:tab/>
          </w:r>
          <w:r>
            <w:fldChar w:fldCharType="begin"/>
          </w:r>
          <w:r>
            <w:instrText xml:space="preserve">PAGEREF _Toc30236 \h</w:instrText>
          </w:r>
          <w:r>
            <w:fldChar w:fldCharType="separate"/>
          </w:r>
          <w:r>
            <w:rPr>
              <w:rFonts w:ascii="仿宋" w:hAnsi="仿宋" w:eastAsia="仿宋" w:cs="仿宋"/>
            </w:rPr>
            <w:t>11</w:t>
          </w:r>
          <w:r>
            <w:fldChar w:fldCharType="end"/>
          </w:r>
          <w:r>
            <w:fldChar w:fldCharType="end"/>
          </w:r>
        </w:p>
        <w:p w14:paraId="03254765">
          <w:pPr>
            <w:pStyle w:val="6"/>
            <w:tabs>
              <w:tab w:val="right" w:leader="dot" w:pos="9360"/>
            </w:tabs>
          </w:pPr>
          <w:r>
            <w:fldChar w:fldCharType="begin"/>
          </w:r>
          <w:r>
            <w:instrText xml:space="preserve"> HYPERLINK \l "_Toc30237" \h </w:instrText>
          </w:r>
          <w:r>
            <w:fldChar w:fldCharType="separate"/>
          </w:r>
          <w:r>
            <w:rPr>
              <w:rFonts w:ascii="楷体" w:hAnsi="楷体" w:eastAsia="楷体" w:cs="楷体"/>
            </w:rPr>
            <w:t>（二）研发项目的流程管理</w:t>
          </w:r>
          <w:r>
            <w:tab/>
          </w:r>
          <w:r>
            <w:fldChar w:fldCharType="begin"/>
          </w:r>
          <w:r>
            <w:instrText xml:space="preserve">PAGEREF _Toc30237 \h</w:instrText>
          </w:r>
          <w:r>
            <w:fldChar w:fldCharType="separate"/>
          </w:r>
          <w:r>
            <w:rPr>
              <w:rFonts w:ascii="仿宋" w:hAnsi="仿宋" w:eastAsia="仿宋" w:cs="仿宋"/>
            </w:rPr>
            <w:t>12</w:t>
          </w:r>
          <w:r>
            <w:fldChar w:fldCharType="end"/>
          </w:r>
          <w:r>
            <w:fldChar w:fldCharType="end"/>
          </w:r>
        </w:p>
        <w:p w14:paraId="333D2BAC">
          <w:pPr>
            <w:pStyle w:val="5"/>
            <w:tabs>
              <w:tab w:val="right" w:leader="dot" w:pos="9360"/>
            </w:tabs>
          </w:pPr>
          <w:r>
            <w:fldChar w:fldCharType="begin"/>
          </w:r>
          <w:r>
            <w:instrText xml:space="preserve"> HYPERLINK \l "_Toc30238" \h </w:instrText>
          </w:r>
          <w:r>
            <w:fldChar w:fldCharType="separate"/>
          </w:r>
          <w:r>
            <w:rPr>
              <w:rFonts w:ascii="黑体" w:hAnsi="黑体" w:eastAsia="黑体" w:cs="黑体"/>
            </w:rPr>
            <w:t>四、研发费用加计扣除政策的主要内容</w:t>
          </w:r>
          <w:r>
            <w:tab/>
          </w:r>
          <w:r>
            <w:fldChar w:fldCharType="begin"/>
          </w:r>
          <w:r>
            <w:instrText xml:space="preserve">PAGEREF _Toc30238 \h</w:instrText>
          </w:r>
          <w:r>
            <w:fldChar w:fldCharType="separate"/>
          </w:r>
          <w:r>
            <w:rPr>
              <w:rFonts w:ascii="仿宋" w:hAnsi="仿宋" w:eastAsia="仿宋" w:cs="仿宋"/>
            </w:rPr>
            <w:t>14</w:t>
          </w:r>
          <w:r>
            <w:fldChar w:fldCharType="end"/>
          </w:r>
          <w:r>
            <w:fldChar w:fldCharType="end"/>
          </w:r>
        </w:p>
        <w:p w14:paraId="022CB9C9">
          <w:pPr>
            <w:pStyle w:val="6"/>
            <w:tabs>
              <w:tab w:val="right" w:leader="dot" w:pos="9360"/>
            </w:tabs>
          </w:pPr>
          <w:r>
            <w:fldChar w:fldCharType="begin"/>
          </w:r>
          <w:r>
            <w:instrText xml:space="preserve"> HYPERLINK \l "_Toc30239" \h </w:instrText>
          </w:r>
          <w:r>
            <w:fldChar w:fldCharType="separate"/>
          </w:r>
          <w:r>
            <w:rPr>
              <w:rFonts w:ascii="楷体" w:hAnsi="楷体" w:eastAsia="楷体" w:cs="楷体"/>
            </w:rPr>
            <w:t>（一）政策适用范围</w:t>
          </w:r>
          <w:r>
            <w:tab/>
          </w:r>
          <w:r>
            <w:fldChar w:fldCharType="begin"/>
          </w:r>
          <w:r>
            <w:instrText xml:space="preserve">PAGEREF _Toc30239 \h</w:instrText>
          </w:r>
          <w:r>
            <w:fldChar w:fldCharType="separate"/>
          </w:r>
          <w:r>
            <w:rPr>
              <w:rFonts w:ascii="仿宋" w:hAnsi="仿宋" w:eastAsia="仿宋" w:cs="仿宋"/>
            </w:rPr>
            <w:t>14</w:t>
          </w:r>
          <w:r>
            <w:fldChar w:fldCharType="end"/>
          </w:r>
          <w:r>
            <w:fldChar w:fldCharType="end"/>
          </w:r>
        </w:p>
        <w:p w14:paraId="2A17880E">
          <w:pPr>
            <w:pStyle w:val="6"/>
            <w:tabs>
              <w:tab w:val="right" w:leader="dot" w:pos="9360"/>
            </w:tabs>
          </w:pPr>
          <w:r>
            <w:fldChar w:fldCharType="begin"/>
          </w:r>
          <w:r>
            <w:instrText xml:space="preserve"> HYPERLINK \l "_Toc30240" \h </w:instrText>
          </w:r>
          <w:r>
            <w:fldChar w:fldCharType="separate"/>
          </w:r>
          <w:r>
            <w:rPr>
              <w:rFonts w:ascii="楷体" w:hAnsi="楷体" w:eastAsia="楷体" w:cs="楷体"/>
            </w:rPr>
            <w:t>（二）研发费用加计扣除归集口径</w:t>
          </w:r>
          <w:r>
            <w:tab/>
          </w:r>
          <w:r>
            <w:fldChar w:fldCharType="begin"/>
          </w:r>
          <w:r>
            <w:instrText xml:space="preserve">PAGEREF _Toc30240 \h</w:instrText>
          </w:r>
          <w:r>
            <w:fldChar w:fldCharType="separate"/>
          </w:r>
          <w:r>
            <w:rPr>
              <w:rFonts w:ascii="仿宋" w:hAnsi="仿宋" w:eastAsia="仿宋" w:cs="仿宋"/>
            </w:rPr>
            <w:t>15</w:t>
          </w:r>
          <w:r>
            <w:fldChar w:fldCharType="end"/>
          </w:r>
          <w:r>
            <w:fldChar w:fldCharType="end"/>
          </w:r>
        </w:p>
        <w:p w14:paraId="1DE66F87">
          <w:pPr>
            <w:pStyle w:val="6"/>
            <w:tabs>
              <w:tab w:val="right" w:leader="dot" w:pos="9360"/>
            </w:tabs>
          </w:pPr>
          <w:r>
            <w:fldChar w:fldCharType="begin"/>
          </w:r>
          <w:r>
            <w:instrText xml:space="preserve"> HYPERLINK \l "_Toc30241" \h </w:instrText>
          </w:r>
          <w:r>
            <w:fldChar w:fldCharType="separate"/>
          </w:r>
          <w:r>
            <w:rPr>
              <w:rFonts w:ascii="楷体" w:hAnsi="楷体" w:eastAsia="楷体" w:cs="楷体"/>
            </w:rPr>
            <w:t>（三）冲减研发费用的特殊情况</w:t>
          </w:r>
          <w:r>
            <w:tab/>
          </w:r>
          <w:r>
            <w:fldChar w:fldCharType="begin"/>
          </w:r>
          <w:r>
            <w:instrText xml:space="preserve">PAGEREF _Toc30241 \h</w:instrText>
          </w:r>
          <w:r>
            <w:fldChar w:fldCharType="separate"/>
          </w:r>
          <w:r>
            <w:rPr>
              <w:rFonts w:ascii="仿宋" w:hAnsi="仿宋" w:eastAsia="仿宋" w:cs="仿宋"/>
            </w:rPr>
            <w:t>22</w:t>
          </w:r>
          <w:r>
            <w:fldChar w:fldCharType="end"/>
          </w:r>
          <w:r>
            <w:fldChar w:fldCharType="end"/>
          </w:r>
        </w:p>
        <w:p w14:paraId="2ABD3923">
          <w:pPr>
            <w:pStyle w:val="6"/>
            <w:tabs>
              <w:tab w:val="right" w:leader="dot" w:pos="9360"/>
            </w:tabs>
          </w:pPr>
          <w:r>
            <w:fldChar w:fldCharType="begin"/>
          </w:r>
          <w:r>
            <w:instrText xml:space="preserve"> HYPERLINK \l "_Toc30242" \h </w:instrText>
          </w:r>
          <w:r>
            <w:fldChar w:fldCharType="separate"/>
          </w:r>
          <w:r>
            <w:rPr>
              <w:rFonts w:ascii="楷体" w:hAnsi="楷体" w:eastAsia="楷体" w:cs="楷体"/>
            </w:rPr>
            <w:t>（四）其他事项</w:t>
          </w:r>
          <w:r>
            <w:tab/>
          </w:r>
          <w:r>
            <w:fldChar w:fldCharType="begin"/>
          </w:r>
          <w:r>
            <w:instrText xml:space="preserve">PAGEREF _Toc30242 \h</w:instrText>
          </w:r>
          <w:r>
            <w:fldChar w:fldCharType="separate"/>
          </w:r>
          <w:r>
            <w:rPr>
              <w:rFonts w:ascii="仿宋" w:hAnsi="仿宋" w:eastAsia="仿宋" w:cs="仿宋"/>
            </w:rPr>
            <w:t>23</w:t>
          </w:r>
          <w:r>
            <w:fldChar w:fldCharType="end"/>
          </w:r>
          <w:r>
            <w:fldChar w:fldCharType="end"/>
          </w:r>
        </w:p>
        <w:p w14:paraId="68C2A2F2">
          <w:pPr>
            <w:pStyle w:val="5"/>
            <w:tabs>
              <w:tab w:val="right" w:leader="dot" w:pos="9360"/>
            </w:tabs>
          </w:pPr>
          <w:r>
            <w:fldChar w:fldCharType="begin"/>
          </w:r>
          <w:r>
            <w:instrText xml:space="preserve"> HYPERLINK \l "_Toc30243" \h </w:instrText>
          </w:r>
          <w:r>
            <w:fldChar w:fldCharType="separate"/>
          </w:r>
          <w:r>
            <w:rPr>
              <w:rFonts w:ascii="黑体" w:hAnsi="黑体" w:eastAsia="黑体" w:cs="黑体"/>
            </w:rPr>
            <w:t>五、加计扣除研发费用核算要求</w:t>
          </w:r>
          <w:r>
            <w:tab/>
          </w:r>
          <w:r>
            <w:fldChar w:fldCharType="begin"/>
          </w:r>
          <w:r>
            <w:instrText xml:space="preserve">PAGEREF _Toc30243 \h</w:instrText>
          </w:r>
          <w:r>
            <w:fldChar w:fldCharType="separate"/>
          </w:r>
          <w:r>
            <w:rPr>
              <w:rFonts w:ascii="仿宋" w:hAnsi="仿宋" w:eastAsia="仿宋" w:cs="仿宋"/>
            </w:rPr>
            <w:t>25</w:t>
          </w:r>
          <w:r>
            <w:fldChar w:fldCharType="end"/>
          </w:r>
          <w:r>
            <w:fldChar w:fldCharType="end"/>
          </w:r>
        </w:p>
        <w:p w14:paraId="784E111B">
          <w:pPr>
            <w:pStyle w:val="6"/>
            <w:tabs>
              <w:tab w:val="right" w:leader="dot" w:pos="9360"/>
            </w:tabs>
          </w:pPr>
          <w:r>
            <w:fldChar w:fldCharType="begin"/>
          </w:r>
          <w:r>
            <w:instrText xml:space="preserve"> HYPERLINK \l "_Toc30244" \h </w:instrText>
          </w:r>
          <w:r>
            <w:fldChar w:fldCharType="separate"/>
          </w:r>
          <w:r>
            <w:rPr>
              <w:rFonts w:ascii="楷体" w:hAnsi="楷体" w:eastAsia="楷体" w:cs="楷体"/>
            </w:rPr>
            <w:t>（一）享受研发费用加计扣除政策的会计核算要求</w:t>
          </w:r>
          <w:r>
            <w:tab/>
          </w:r>
          <w:r>
            <w:fldChar w:fldCharType="begin"/>
          </w:r>
          <w:r>
            <w:instrText xml:space="preserve">PAGEREF _Toc30244 \h</w:instrText>
          </w:r>
          <w:r>
            <w:fldChar w:fldCharType="separate"/>
          </w:r>
          <w:r>
            <w:rPr>
              <w:rFonts w:ascii="仿宋" w:hAnsi="仿宋" w:eastAsia="仿宋" w:cs="仿宋"/>
            </w:rPr>
            <w:t>25</w:t>
          </w:r>
          <w:r>
            <w:fldChar w:fldCharType="end"/>
          </w:r>
          <w:r>
            <w:fldChar w:fldCharType="end"/>
          </w:r>
        </w:p>
        <w:p w14:paraId="62A022D8">
          <w:pPr>
            <w:pStyle w:val="6"/>
            <w:tabs>
              <w:tab w:val="right" w:leader="dot" w:pos="9360"/>
            </w:tabs>
          </w:pPr>
          <w:r>
            <w:fldChar w:fldCharType="begin"/>
          </w:r>
          <w:r>
            <w:instrText xml:space="preserve"> HYPERLINK \l "_Toc30245" \h </w:instrText>
          </w:r>
          <w:r>
            <w:fldChar w:fldCharType="separate"/>
          </w:r>
          <w:r>
            <w:rPr>
              <w:rFonts w:ascii="楷体" w:hAnsi="楷体" w:eastAsia="楷体" w:cs="楷体"/>
            </w:rPr>
            <w:t>（二）研发支出辅助账的样式</w:t>
          </w:r>
          <w:r>
            <w:tab/>
          </w:r>
          <w:r>
            <w:fldChar w:fldCharType="begin"/>
          </w:r>
          <w:r>
            <w:instrText xml:space="preserve">PAGEREF _Toc30245 \h</w:instrText>
          </w:r>
          <w:r>
            <w:fldChar w:fldCharType="separate"/>
          </w:r>
          <w:r>
            <w:rPr>
              <w:rFonts w:ascii="仿宋" w:hAnsi="仿宋" w:eastAsia="仿宋" w:cs="仿宋"/>
            </w:rPr>
            <w:t>25</w:t>
          </w:r>
          <w:r>
            <w:fldChar w:fldCharType="end"/>
          </w:r>
          <w:r>
            <w:fldChar w:fldCharType="end"/>
          </w:r>
        </w:p>
        <w:p w14:paraId="75769D3B">
          <w:pPr>
            <w:pStyle w:val="6"/>
            <w:tabs>
              <w:tab w:val="right" w:leader="dot" w:pos="9360"/>
            </w:tabs>
          </w:pPr>
          <w:r>
            <w:fldChar w:fldCharType="begin"/>
          </w:r>
          <w:r>
            <w:instrText xml:space="preserve"> HYPERLINK \l "_Toc30246" \h </w:instrText>
          </w:r>
          <w:r>
            <w:fldChar w:fldCharType="separate"/>
          </w:r>
          <w:r>
            <w:rPr>
              <w:rFonts w:ascii="楷体" w:hAnsi="楷体" w:eastAsia="楷体" w:cs="楷体"/>
            </w:rPr>
            <w:t>（三）研发支出辅助账核算流程</w:t>
          </w:r>
          <w:r>
            <w:tab/>
          </w:r>
          <w:r>
            <w:fldChar w:fldCharType="begin"/>
          </w:r>
          <w:r>
            <w:instrText xml:space="preserve">PAGEREF _Toc30246 \h</w:instrText>
          </w:r>
          <w:r>
            <w:fldChar w:fldCharType="separate"/>
          </w:r>
          <w:r>
            <w:rPr>
              <w:rFonts w:ascii="仿宋" w:hAnsi="仿宋" w:eastAsia="仿宋" w:cs="仿宋"/>
            </w:rPr>
            <w:t>26</w:t>
          </w:r>
          <w:r>
            <w:fldChar w:fldCharType="end"/>
          </w:r>
          <w:r>
            <w:fldChar w:fldCharType="end"/>
          </w:r>
        </w:p>
        <w:p w14:paraId="73809EC4">
          <w:pPr>
            <w:pStyle w:val="6"/>
            <w:tabs>
              <w:tab w:val="right" w:leader="dot" w:pos="9360"/>
            </w:tabs>
          </w:pPr>
          <w:r>
            <w:fldChar w:fldCharType="begin"/>
          </w:r>
          <w:r>
            <w:instrText xml:space="preserve"> HYPERLINK \l "_Toc30247" \h </w:instrText>
          </w:r>
          <w:r>
            <w:fldChar w:fldCharType="separate"/>
          </w:r>
          <w:r>
            <w:rPr>
              <w:rFonts w:ascii="楷体" w:hAnsi="楷体" w:eastAsia="楷体" w:cs="楷体"/>
            </w:rPr>
            <w:t>（四）研发费用的费用化或资本化处理方面的规定</w:t>
          </w:r>
          <w:r>
            <w:tab/>
          </w:r>
          <w:r>
            <w:fldChar w:fldCharType="begin"/>
          </w:r>
          <w:r>
            <w:instrText xml:space="preserve">PAGEREF _Toc30247 \h</w:instrText>
          </w:r>
          <w:r>
            <w:fldChar w:fldCharType="separate"/>
          </w:r>
          <w:r>
            <w:rPr>
              <w:rFonts w:ascii="仿宋" w:hAnsi="仿宋" w:eastAsia="仿宋" w:cs="仿宋"/>
            </w:rPr>
            <w:t>27</w:t>
          </w:r>
          <w:r>
            <w:fldChar w:fldCharType="end"/>
          </w:r>
          <w:r>
            <w:fldChar w:fldCharType="end"/>
          </w:r>
        </w:p>
        <w:p w14:paraId="5CA098AF">
          <w:pPr>
            <w:pStyle w:val="6"/>
            <w:tabs>
              <w:tab w:val="right" w:leader="dot" w:pos="9360"/>
            </w:tabs>
          </w:pPr>
          <w:r>
            <w:fldChar w:fldCharType="begin"/>
          </w:r>
          <w:r>
            <w:instrText xml:space="preserve"> HYPERLINK \l "_Toc30248" \h </w:instrText>
          </w:r>
          <w:r>
            <w:fldChar w:fldCharType="separate"/>
          </w:r>
          <w:r>
            <w:rPr>
              <w:rFonts w:ascii="楷体" w:hAnsi="楷体" w:eastAsia="楷体" w:cs="楷体"/>
            </w:rPr>
            <w:t>（五）共用的人员及仪器、设备、无形资产核算要求</w:t>
          </w:r>
          <w:r>
            <w:tab/>
          </w:r>
          <w:r>
            <w:fldChar w:fldCharType="begin"/>
          </w:r>
          <w:r>
            <w:instrText xml:space="preserve">PAGEREF _Toc30248 \h</w:instrText>
          </w:r>
          <w:r>
            <w:fldChar w:fldCharType="separate"/>
          </w:r>
          <w:r>
            <w:rPr>
              <w:rFonts w:ascii="仿宋" w:hAnsi="仿宋" w:eastAsia="仿宋" w:cs="仿宋"/>
            </w:rPr>
            <w:t>29</w:t>
          </w:r>
          <w:r>
            <w:fldChar w:fldCharType="end"/>
          </w:r>
          <w:r>
            <w:fldChar w:fldCharType="end"/>
          </w:r>
        </w:p>
        <w:p w14:paraId="59270213">
          <w:pPr>
            <w:pStyle w:val="6"/>
            <w:tabs>
              <w:tab w:val="right" w:leader="dot" w:pos="9360"/>
            </w:tabs>
          </w:pPr>
          <w:r>
            <w:fldChar w:fldCharType="begin"/>
          </w:r>
          <w:r>
            <w:instrText xml:space="preserve"> HYPERLINK \l "_Toc30249" \h </w:instrText>
          </w:r>
          <w:r>
            <w:fldChar w:fldCharType="separate"/>
          </w:r>
          <w:r>
            <w:rPr>
              <w:rFonts w:ascii="楷体" w:hAnsi="楷体" w:eastAsia="楷体" w:cs="楷体"/>
            </w:rPr>
            <w:t>（六）研发费用的核算须做好部门间协调配合</w:t>
          </w:r>
          <w:r>
            <w:tab/>
          </w:r>
          <w:r>
            <w:fldChar w:fldCharType="begin"/>
          </w:r>
          <w:r>
            <w:instrText xml:space="preserve">PAGEREF _Toc30249 \h</w:instrText>
          </w:r>
          <w:r>
            <w:fldChar w:fldCharType="separate"/>
          </w:r>
          <w:r>
            <w:rPr>
              <w:rFonts w:ascii="仿宋" w:hAnsi="仿宋" w:eastAsia="仿宋" w:cs="仿宋"/>
            </w:rPr>
            <w:t>29</w:t>
          </w:r>
          <w:r>
            <w:fldChar w:fldCharType="end"/>
          </w:r>
          <w:r>
            <w:fldChar w:fldCharType="end"/>
          </w:r>
        </w:p>
        <w:p w14:paraId="78F00593">
          <w:pPr>
            <w:pStyle w:val="6"/>
            <w:tabs>
              <w:tab w:val="right" w:leader="dot" w:pos="9360"/>
            </w:tabs>
          </w:pPr>
          <w:r>
            <w:fldChar w:fldCharType="begin"/>
          </w:r>
          <w:r>
            <w:instrText xml:space="preserve"> HYPERLINK \l "_Toc30250" \h </w:instrText>
          </w:r>
          <w:r>
            <w:fldChar w:fldCharType="separate"/>
          </w:r>
          <w:r>
            <w:rPr>
              <w:rFonts w:ascii="楷体" w:hAnsi="楷体" w:eastAsia="楷体" w:cs="楷体"/>
            </w:rPr>
            <w:t>（七）企业集团集中开发的研发费用分摊需要关注关联申报</w:t>
          </w:r>
          <w:r>
            <w:tab/>
          </w:r>
          <w:r>
            <w:fldChar w:fldCharType="begin"/>
          </w:r>
          <w:r>
            <w:instrText xml:space="preserve">PAGEREF _Toc30250 \h</w:instrText>
          </w:r>
          <w:r>
            <w:fldChar w:fldCharType="separate"/>
          </w:r>
          <w:r>
            <w:rPr>
              <w:rFonts w:ascii="仿宋" w:hAnsi="仿宋" w:eastAsia="仿宋" w:cs="仿宋"/>
            </w:rPr>
            <w:t>29</w:t>
          </w:r>
          <w:r>
            <w:fldChar w:fldCharType="end"/>
          </w:r>
          <w:r>
            <w:fldChar w:fldCharType="end"/>
          </w:r>
        </w:p>
        <w:p w14:paraId="1B968232">
          <w:pPr>
            <w:pStyle w:val="6"/>
            <w:tabs>
              <w:tab w:val="right" w:leader="dot" w:pos="9360"/>
            </w:tabs>
          </w:pPr>
          <w:r>
            <w:fldChar w:fldCharType="begin"/>
          </w:r>
          <w:r>
            <w:instrText xml:space="preserve"> HYPERLINK \l "_Toc30251" \h </w:instrText>
          </w:r>
          <w:r>
            <w:fldChar w:fldCharType="separate"/>
          </w:r>
          <w:r>
            <w:rPr>
              <w:rFonts w:ascii="楷体" w:hAnsi="楷体" w:eastAsia="楷体" w:cs="楷体"/>
            </w:rPr>
            <w:t>（八）合作研发项目核算要求</w:t>
          </w:r>
          <w:r>
            <w:tab/>
          </w:r>
          <w:r>
            <w:fldChar w:fldCharType="begin"/>
          </w:r>
          <w:r>
            <w:instrText xml:space="preserve">PAGEREF _Toc30251 \h</w:instrText>
          </w:r>
          <w:r>
            <w:fldChar w:fldCharType="separate"/>
          </w:r>
          <w:r>
            <w:rPr>
              <w:rFonts w:ascii="仿宋" w:hAnsi="仿宋" w:eastAsia="仿宋" w:cs="仿宋"/>
            </w:rPr>
            <w:t>30</w:t>
          </w:r>
          <w:r>
            <w:fldChar w:fldCharType="end"/>
          </w:r>
          <w:r>
            <w:fldChar w:fldCharType="end"/>
          </w:r>
        </w:p>
        <w:p w14:paraId="2350F074">
          <w:pPr>
            <w:pStyle w:val="5"/>
            <w:tabs>
              <w:tab w:val="right" w:leader="dot" w:pos="9360"/>
            </w:tabs>
          </w:pPr>
          <w:r>
            <w:fldChar w:fldCharType="begin"/>
          </w:r>
          <w:r>
            <w:instrText xml:space="preserve"> HYPERLINK \l "_Toc30252" \h </w:instrText>
          </w:r>
          <w:r>
            <w:fldChar w:fldCharType="separate"/>
          </w:r>
          <w:r>
            <w:rPr>
              <w:rFonts w:ascii="黑体" w:hAnsi="黑体" w:eastAsia="黑体" w:cs="黑体"/>
            </w:rPr>
            <w:t>六、研发费用加计扣除申报和后续管理</w:t>
          </w:r>
          <w:r>
            <w:tab/>
          </w:r>
          <w:r>
            <w:fldChar w:fldCharType="begin"/>
          </w:r>
          <w:r>
            <w:instrText xml:space="preserve">PAGEREF _Toc30252 \h</w:instrText>
          </w:r>
          <w:r>
            <w:fldChar w:fldCharType="separate"/>
          </w:r>
          <w:r>
            <w:rPr>
              <w:rFonts w:ascii="仿宋" w:hAnsi="仿宋" w:eastAsia="仿宋" w:cs="仿宋"/>
            </w:rPr>
            <w:t>30</w:t>
          </w:r>
          <w:r>
            <w:fldChar w:fldCharType="end"/>
          </w:r>
          <w:r>
            <w:fldChar w:fldCharType="end"/>
          </w:r>
        </w:p>
        <w:p w14:paraId="222FFECF">
          <w:pPr>
            <w:pStyle w:val="6"/>
            <w:tabs>
              <w:tab w:val="right" w:leader="dot" w:pos="9360"/>
            </w:tabs>
          </w:pPr>
          <w:r>
            <w:fldChar w:fldCharType="begin"/>
          </w:r>
          <w:r>
            <w:instrText xml:space="preserve"> HYPERLINK \l "_Toc30253" \h </w:instrText>
          </w:r>
          <w:r>
            <w:fldChar w:fldCharType="separate"/>
          </w:r>
          <w:r>
            <w:rPr>
              <w:rFonts w:ascii="楷体" w:hAnsi="楷体" w:eastAsia="楷体" w:cs="楷体"/>
            </w:rPr>
            <w:t>（一）享受研发费用加计扣除政策的办理方式</w:t>
          </w:r>
          <w:r>
            <w:tab/>
          </w:r>
          <w:r>
            <w:fldChar w:fldCharType="begin"/>
          </w:r>
          <w:r>
            <w:instrText xml:space="preserve">PAGEREF _Toc30253 \h</w:instrText>
          </w:r>
          <w:r>
            <w:fldChar w:fldCharType="separate"/>
          </w:r>
          <w:r>
            <w:rPr>
              <w:rFonts w:ascii="仿宋" w:hAnsi="仿宋" w:eastAsia="仿宋" w:cs="仿宋"/>
            </w:rPr>
            <w:t>30</w:t>
          </w:r>
          <w:r>
            <w:fldChar w:fldCharType="end"/>
          </w:r>
          <w:r>
            <w:fldChar w:fldCharType="end"/>
          </w:r>
        </w:p>
        <w:p w14:paraId="3349F416">
          <w:pPr>
            <w:pStyle w:val="6"/>
            <w:tabs>
              <w:tab w:val="right" w:leader="dot" w:pos="9360"/>
            </w:tabs>
          </w:pPr>
          <w:r>
            <w:fldChar w:fldCharType="begin"/>
          </w:r>
          <w:r>
            <w:instrText xml:space="preserve"> HYPERLINK \l "_Toc30254" \h </w:instrText>
          </w:r>
          <w:r>
            <w:fldChar w:fldCharType="separate"/>
          </w:r>
          <w:r>
            <w:rPr>
              <w:rFonts w:ascii="楷体" w:hAnsi="楷体" w:eastAsia="楷体" w:cs="楷体"/>
            </w:rPr>
            <w:t>（二）享受研发费用加计扣除政策的时点</w:t>
          </w:r>
          <w:r>
            <w:tab/>
          </w:r>
          <w:r>
            <w:fldChar w:fldCharType="begin"/>
          </w:r>
          <w:r>
            <w:instrText xml:space="preserve">PAGEREF _Toc30254 \h</w:instrText>
          </w:r>
          <w:r>
            <w:fldChar w:fldCharType="separate"/>
          </w:r>
          <w:r>
            <w:rPr>
              <w:rFonts w:ascii="仿宋" w:hAnsi="仿宋" w:eastAsia="仿宋" w:cs="仿宋"/>
            </w:rPr>
            <w:t>31</w:t>
          </w:r>
          <w:r>
            <w:fldChar w:fldCharType="end"/>
          </w:r>
          <w:r>
            <w:fldChar w:fldCharType="end"/>
          </w:r>
        </w:p>
        <w:p w14:paraId="40591873">
          <w:pPr>
            <w:pStyle w:val="6"/>
            <w:tabs>
              <w:tab w:val="right" w:leader="dot" w:pos="9360"/>
            </w:tabs>
          </w:pPr>
          <w:r>
            <w:fldChar w:fldCharType="begin"/>
          </w:r>
          <w:r>
            <w:instrText xml:space="preserve"> HYPERLINK \l "_Toc30255" \h </w:instrText>
          </w:r>
          <w:r>
            <w:fldChar w:fldCharType="separate"/>
          </w:r>
          <w:r>
            <w:rPr>
              <w:rFonts w:ascii="楷体" w:hAnsi="楷体" w:eastAsia="楷体" w:cs="楷体"/>
            </w:rPr>
            <w:t>（三）享受研发费用加计扣除政策的留存备查资料</w:t>
          </w:r>
          <w:r>
            <w:tab/>
          </w:r>
          <w:r>
            <w:fldChar w:fldCharType="begin"/>
          </w:r>
          <w:r>
            <w:instrText xml:space="preserve">PAGEREF _Toc30255 \h</w:instrText>
          </w:r>
          <w:r>
            <w:fldChar w:fldCharType="separate"/>
          </w:r>
          <w:r>
            <w:rPr>
              <w:rFonts w:ascii="仿宋" w:hAnsi="仿宋" w:eastAsia="仿宋" w:cs="仿宋"/>
            </w:rPr>
            <w:t>32</w:t>
          </w:r>
          <w:r>
            <w:fldChar w:fldCharType="end"/>
          </w:r>
          <w:r>
            <w:fldChar w:fldCharType="end"/>
          </w:r>
        </w:p>
        <w:p w14:paraId="2ECC71EF">
          <w:pPr>
            <w:pStyle w:val="6"/>
            <w:tabs>
              <w:tab w:val="right" w:leader="dot" w:pos="9360"/>
            </w:tabs>
          </w:pPr>
          <w:r>
            <w:fldChar w:fldCharType="begin"/>
          </w:r>
          <w:r>
            <w:instrText xml:space="preserve"> HYPERLINK \l "_Toc30256" \h </w:instrText>
          </w:r>
          <w:r>
            <w:fldChar w:fldCharType="separate"/>
          </w:r>
          <w:r>
            <w:rPr>
              <w:rFonts w:ascii="楷体" w:hAnsi="楷体" w:eastAsia="楷体" w:cs="楷体"/>
            </w:rPr>
            <w:t>（四）税务机关后续管理</w:t>
          </w:r>
          <w:r>
            <w:tab/>
          </w:r>
          <w:r>
            <w:fldChar w:fldCharType="begin"/>
          </w:r>
          <w:r>
            <w:instrText xml:space="preserve">PAGEREF _Toc30256 \h</w:instrText>
          </w:r>
          <w:r>
            <w:fldChar w:fldCharType="separate"/>
          </w:r>
          <w:r>
            <w:rPr>
              <w:rFonts w:ascii="仿宋" w:hAnsi="仿宋" w:eastAsia="仿宋" w:cs="仿宋"/>
            </w:rPr>
            <w:t>33</w:t>
          </w:r>
          <w:r>
            <w:fldChar w:fldCharType="end"/>
          </w:r>
          <w:r>
            <w:fldChar w:fldCharType="end"/>
          </w:r>
        </w:p>
        <w:p w14:paraId="031C9C08">
          <w:pPr>
            <w:pStyle w:val="6"/>
            <w:tabs>
              <w:tab w:val="right" w:leader="dot" w:pos="9360"/>
            </w:tabs>
          </w:pPr>
          <w:r>
            <w:fldChar w:fldCharType="begin"/>
          </w:r>
          <w:r>
            <w:instrText xml:space="preserve"> HYPERLINK \l "_Toc30257" \h </w:instrText>
          </w:r>
          <w:r>
            <w:fldChar w:fldCharType="separate"/>
          </w:r>
          <w:r>
            <w:rPr>
              <w:rFonts w:ascii="楷体" w:hAnsi="楷体" w:eastAsia="楷体" w:cs="楷体"/>
            </w:rPr>
            <w:t>（五）其他注意事项</w:t>
          </w:r>
          <w:r>
            <w:tab/>
          </w:r>
          <w:r>
            <w:fldChar w:fldCharType="begin"/>
          </w:r>
          <w:r>
            <w:instrText xml:space="preserve">PAGEREF _Toc30257 \h</w:instrText>
          </w:r>
          <w:r>
            <w:fldChar w:fldCharType="separate"/>
          </w:r>
          <w:r>
            <w:rPr>
              <w:rFonts w:ascii="仿宋" w:hAnsi="仿宋" w:eastAsia="仿宋" w:cs="仿宋"/>
            </w:rPr>
            <w:t>34</w:t>
          </w:r>
          <w:r>
            <w:fldChar w:fldCharType="end"/>
          </w:r>
          <w:r>
            <w:fldChar w:fldCharType="end"/>
          </w:r>
        </w:p>
        <w:p w14:paraId="1341B8B4">
          <w:r>
            <w:fldChar w:fldCharType="end"/>
          </w:r>
        </w:p>
      </w:sdtContent>
    </w:sdt>
    <w:p w14:paraId="12C1B221">
      <w:pPr>
        <w:sectPr>
          <w:footerReference r:id="rId7" w:type="first"/>
          <w:footerReference r:id="rId5" w:type="default"/>
          <w:footerReference r:id="rId6" w:type="even"/>
          <w:pgSz w:w="11906" w:h="16838"/>
          <w:pgMar w:top="2081" w:right="1168" w:bottom="2454" w:left="1378" w:header="720" w:footer="720" w:gutter="0"/>
          <w:cols w:space="720" w:num="1"/>
        </w:sectPr>
      </w:pPr>
    </w:p>
    <w:p w14:paraId="5A7C10A8">
      <w:pPr>
        <w:pStyle w:val="2"/>
      </w:pPr>
      <w:bookmarkStart w:id="33" w:name="_GoBack"/>
      <w:bookmarkEnd w:id="33"/>
      <w:bookmarkStart w:id="0" w:name="_Toc30226"/>
      <w:r>
        <w:t>一、研发费用加计扣除政策概述</w:t>
      </w:r>
      <w:bookmarkEnd w:id="0"/>
    </w:p>
    <w:p w14:paraId="17379056">
      <w:pPr>
        <w:pStyle w:val="3"/>
        <w:ind w:left="554"/>
      </w:pPr>
      <w:bookmarkStart w:id="1" w:name="_Toc30227"/>
      <w:r>
        <w:t>（一）政策要点</w:t>
      </w:r>
      <w:bookmarkEnd w:id="1"/>
    </w:p>
    <w:p w14:paraId="2CE37424">
      <w:pPr>
        <w:numPr>
          <w:ilvl w:val="0"/>
          <w:numId w:val="1"/>
        </w:numPr>
        <w:spacing w:line="324" w:lineRule="auto"/>
        <w:ind w:right="62"/>
      </w:pPr>
      <w:r>
        <w:t xml:space="preserve">企业开展研发活动中实际发生的研发费用，未形成无形资产计入当期损益的，在按规定据实扣除的基础上，再按照实际发生额的 </w:t>
      </w:r>
      <w:r>
        <w:rPr>
          <w:rFonts w:ascii="Times New Roman" w:hAnsi="Times New Roman" w:eastAsia="Times New Roman" w:cs="Times New Roman"/>
        </w:rPr>
        <w:t>100%</w:t>
      </w:r>
      <w:r>
        <w:t xml:space="preserve">在税前加计扣除；形成无形资产的，按照无形资产成本的 </w:t>
      </w:r>
      <w:r>
        <w:rPr>
          <w:rFonts w:ascii="Times New Roman" w:hAnsi="Times New Roman" w:eastAsia="Times New Roman" w:cs="Times New Roman"/>
        </w:rPr>
        <w:t>200%</w:t>
      </w:r>
      <w:r>
        <w:t xml:space="preserve">在税前摊销。无形资产摊销年限不得低于 </w:t>
      </w:r>
      <w:r>
        <w:rPr>
          <w:rFonts w:ascii="Times New Roman" w:hAnsi="Times New Roman" w:eastAsia="Times New Roman" w:cs="Times New Roman"/>
        </w:rPr>
        <w:t xml:space="preserve">10 </w:t>
      </w:r>
      <w:r>
        <w:t>年。作为投资或者受让的无形资产，有关法律规定或者合同约定了使用年限的，可以按照法律规定或者合同约定的使用年限分期摊销。</w:t>
      </w:r>
    </w:p>
    <w:p w14:paraId="3C27D498">
      <w:pPr>
        <w:numPr>
          <w:ilvl w:val="0"/>
          <w:numId w:val="1"/>
        </w:numPr>
        <w:spacing w:after="122" w:line="259" w:lineRule="auto"/>
        <w:ind w:right="62"/>
      </w:pPr>
      <w:r>
        <w:t>委托、合作、集中研发费用的加计扣除：</w:t>
      </w:r>
    </w:p>
    <w:p w14:paraId="6C30ABD6">
      <w:pPr>
        <w:numPr>
          <w:ilvl w:val="0"/>
          <w:numId w:val="2"/>
        </w:numPr>
        <w:ind w:right="0"/>
      </w:pPr>
      <w:r>
        <w:t xml:space="preserve">企业委托境内的外部机构或个人进行研发活动发生的费用，按照费用实际发生额的 </w:t>
      </w:r>
      <w:r>
        <w:rPr>
          <w:rFonts w:ascii="Times New Roman" w:hAnsi="Times New Roman" w:eastAsia="Times New Roman" w:cs="Times New Roman"/>
        </w:rPr>
        <w:t>80%</w:t>
      </w:r>
      <w:r>
        <w:t>计入委托方研发费用并按规定计算加计扣除；委托境外</w:t>
      </w:r>
      <w:r>
        <w:rPr>
          <w:rFonts w:ascii="Times New Roman" w:hAnsi="Times New Roman" w:eastAsia="Times New Roman" w:cs="Times New Roman"/>
        </w:rPr>
        <w:t>(</w:t>
      </w:r>
      <w:r>
        <w:t>不包括境外个人</w:t>
      </w:r>
      <w:r>
        <w:rPr>
          <w:rFonts w:ascii="Times New Roman" w:hAnsi="Times New Roman" w:eastAsia="Times New Roman" w:cs="Times New Roman"/>
        </w:rPr>
        <w:t>)</w:t>
      </w:r>
      <w:r>
        <w:t xml:space="preserve">进行研发活动所发生的费用，按照费用实际发生额的 </w:t>
      </w:r>
      <w:r>
        <w:rPr>
          <w:rFonts w:ascii="Times New Roman" w:hAnsi="Times New Roman" w:eastAsia="Times New Roman" w:cs="Times New Roman"/>
        </w:rPr>
        <w:t>80%</w:t>
      </w:r>
      <w:r>
        <w:t>计入委托方的委托境外研发费用。委托境外研发费用不超过境内符合条件的研发费用三分之二的部分，可按规定在企业所得税前加计扣除。</w:t>
      </w:r>
    </w:p>
    <w:p w14:paraId="18EFE287">
      <w:pPr>
        <w:numPr>
          <w:ilvl w:val="0"/>
          <w:numId w:val="2"/>
        </w:numPr>
        <w:ind w:right="0"/>
      </w:pPr>
      <w:r>
        <w:t>企业共同合作开发的项目，由合作各方就自身实际承担的研发费用分别计算加计扣除。</w:t>
      </w:r>
    </w:p>
    <w:p w14:paraId="6A77F37B">
      <w:pPr>
        <w:numPr>
          <w:ilvl w:val="0"/>
          <w:numId w:val="2"/>
        </w:numPr>
        <w:ind w:right="0"/>
      </w:pPr>
      <w:r>
        <w:t>企业集团根据生产经营和科技开发的实际情况，对技术要求高、投资数额大，需要集中研发的项目，其实际发生的研发费用，可以按照权利和义务相一致、费用支出和收益分享相配比的原则，合理确定研发费用的分摊方法，在受益成员企业间进行分摊，由相关成员企业分别计算加计扣除。</w:t>
      </w:r>
    </w:p>
    <w:p w14:paraId="3DEDEFF6">
      <w:pPr>
        <w:numPr>
          <w:ilvl w:val="0"/>
          <w:numId w:val="3"/>
        </w:numPr>
        <w:ind w:right="0"/>
      </w:pPr>
      <w:r>
        <w:t>企业为获得创新性、创意性、突破性的产品进行创意设计活动而发生的相关费用，可以按照规定进行加计扣除。</w:t>
      </w:r>
    </w:p>
    <w:p w14:paraId="25981618">
      <w:pPr>
        <w:numPr>
          <w:ilvl w:val="0"/>
          <w:numId w:val="3"/>
        </w:numPr>
        <w:ind w:right="0"/>
      </w:pPr>
      <w:r>
        <w:t xml:space="preserve">企业可在当年 </w:t>
      </w:r>
      <w:r>
        <w:rPr>
          <w:rFonts w:ascii="Times New Roman" w:hAnsi="Times New Roman" w:eastAsia="Times New Roman" w:cs="Times New Roman"/>
        </w:rPr>
        <w:t xml:space="preserve">7 </w:t>
      </w:r>
      <w:r>
        <w:t>月份预缴、</w:t>
      </w:r>
      <w:r>
        <w:rPr>
          <w:rFonts w:ascii="Times New Roman" w:hAnsi="Times New Roman" w:eastAsia="Times New Roman" w:cs="Times New Roman"/>
        </w:rPr>
        <w:t xml:space="preserve">10 </w:t>
      </w:r>
      <w:r>
        <w:t>月份预缴以及企业所得税年度汇算清缴时申报享受研发费用加计扣除政策。</w:t>
      </w:r>
    </w:p>
    <w:p w14:paraId="743CB483">
      <w:pPr>
        <w:pStyle w:val="3"/>
        <w:ind w:left="554"/>
      </w:pPr>
      <w:bookmarkStart w:id="2" w:name="_Toc30228"/>
      <w:r>
        <w:t>（二）政策沿革</w:t>
      </w:r>
      <w:bookmarkEnd w:id="2"/>
    </w:p>
    <w:p w14:paraId="7E162FD0">
      <w:pPr>
        <w:spacing w:after="267" w:line="324" w:lineRule="auto"/>
        <w:ind w:left="-15" w:right="0"/>
        <w:jc w:val="both"/>
      </w:pPr>
      <w:r>
        <w:t xml:space="preserve">现行企业所得税法和实施条例明确研发费用可享受加计扣除。近年来，国家多次优化完善研发费用加计扣除政策，加大政策优惠力度，具体政策沿革见表 </w:t>
      </w:r>
      <w:r>
        <w:rPr>
          <w:rFonts w:ascii="Times New Roman" w:hAnsi="Times New Roman" w:eastAsia="Times New Roman" w:cs="Times New Roman"/>
        </w:rPr>
        <w:t>1</w:t>
      </w:r>
      <w:r>
        <w:t>。</w:t>
      </w:r>
    </w:p>
    <w:p w14:paraId="25C6B0AD">
      <w:pPr>
        <w:spacing w:line="259" w:lineRule="auto"/>
        <w:ind w:left="430" w:right="5" w:hanging="10"/>
        <w:jc w:val="center"/>
      </w:pPr>
      <w:r>
        <w:rPr>
          <w:rFonts w:ascii="黑体" w:hAnsi="黑体" w:eastAsia="黑体" w:cs="黑体"/>
        </w:rPr>
        <w:t>表1：研发费用加计扣除政策沿革</w:t>
      </w:r>
    </w:p>
    <w:tbl>
      <w:tblPr>
        <w:tblStyle w:val="11"/>
        <w:tblW w:w="9286" w:type="dxa"/>
        <w:tblInd w:w="-108" w:type="dxa"/>
        <w:tblLayout w:type="autofit"/>
        <w:tblCellMar>
          <w:top w:w="115" w:type="dxa"/>
          <w:left w:w="107" w:type="dxa"/>
          <w:bottom w:w="0" w:type="dxa"/>
          <w:right w:w="0" w:type="dxa"/>
        </w:tblCellMar>
      </w:tblPr>
      <w:tblGrid>
        <w:gridCol w:w="1951"/>
        <w:gridCol w:w="3611"/>
        <w:gridCol w:w="3724"/>
      </w:tblGrid>
      <w:tr w14:paraId="4ECAD00E">
        <w:tblPrEx>
          <w:tblCellMar>
            <w:top w:w="115" w:type="dxa"/>
            <w:left w:w="107" w:type="dxa"/>
            <w:bottom w:w="0" w:type="dxa"/>
            <w:right w:w="0" w:type="dxa"/>
          </w:tblCellMar>
        </w:tblPrEx>
        <w:trPr>
          <w:trHeight w:val="410" w:hRule="atLeast"/>
        </w:trPr>
        <w:tc>
          <w:tcPr>
            <w:tcW w:w="1951" w:type="dxa"/>
            <w:tcBorders>
              <w:top w:val="single" w:color="000000" w:sz="4" w:space="0"/>
              <w:left w:val="single" w:color="000000" w:sz="4" w:space="0"/>
              <w:bottom w:val="single" w:color="000000" w:sz="4" w:space="0"/>
              <w:right w:val="single" w:color="000000" w:sz="4" w:space="0"/>
            </w:tcBorders>
          </w:tcPr>
          <w:p w14:paraId="1139808D">
            <w:pPr>
              <w:spacing w:after="0" w:line="259" w:lineRule="auto"/>
              <w:ind w:right="109" w:firstLine="0"/>
              <w:jc w:val="center"/>
            </w:pPr>
            <w:r>
              <w:rPr>
                <w:rFonts w:ascii="宋体" w:hAnsi="宋体" w:eastAsia="宋体" w:cs="宋体"/>
                <w:sz w:val="24"/>
              </w:rPr>
              <w:t>时间</w:t>
            </w:r>
          </w:p>
        </w:tc>
        <w:tc>
          <w:tcPr>
            <w:tcW w:w="3611" w:type="dxa"/>
            <w:tcBorders>
              <w:top w:val="single" w:color="000000" w:sz="4" w:space="0"/>
              <w:left w:val="single" w:color="000000" w:sz="4" w:space="0"/>
              <w:bottom w:val="single" w:color="000000" w:sz="4" w:space="0"/>
              <w:right w:val="single" w:color="000000" w:sz="4" w:space="0"/>
            </w:tcBorders>
          </w:tcPr>
          <w:p w14:paraId="669B13AD">
            <w:pPr>
              <w:spacing w:after="0" w:line="259" w:lineRule="auto"/>
              <w:ind w:right="107" w:firstLine="0"/>
              <w:jc w:val="center"/>
            </w:pPr>
            <w:r>
              <w:rPr>
                <w:rFonts w:ascii="宋体" w:hAnsi="宋体" w:eastAsia="宋体" w:cs="宋体"/>
                <w:sz w:val="24"/>
              </w:rPr>
              <w:t>政策</w:t>
            </w:r>
          </w:p>
        </w:tc>
        <w:tc>
          <w:tcPr>
            <w:tcW w:w="3724" w:type="dxa"/>
            <w:tcBorders>
              <w:top w:val="single" w:color="000000" w:sz="4" w:space="0"/>
              <w:left w:val="single" w:color="000000" w:sz="4" w:space="0"/>
              <w:bottom w:val="single" w:color="000000" w:sz="4" w:space="0"/>
              <w:right w:val="single" w:color="000000" w:sz="4" w:space="0"/>
            </w:tcBorders>
          </w:tcPr>
          <w:p w14:paraId="3874DD17">
            <w:pPr>
              <w:spacing w:after="0" w:line="259" w:lineRule="auto"/>
              <w:ind w:right="106" w:firstLine="0"/>
              <w:jc w:val="center"/>
            </w:pPr>
            <w:r>
              <w:rPr>
                <w:rFonts w:ascii="宋体" w:hAnsi="宋体" w:eastAsia="宋体" w:cs="宋体"/>
                <w:sz w:val="24"/>
              </w:rPr>
              <w:t>主要内容</w:t>
            </w:r>
          </w:p>
        </w:tc>
      </w:tr>
      <w:tr w14:paraId="67603BD1">
        <w:tblPrEx>
          <w:tblCellMar>
            <w:top w:w="115" w:type="dxa"/>
            <w:left w:w="107" w:type="dxa"/>
            <w:bottom w:w="0" w:type="dxa"/>
            <w:right w:w="0" w:type="dxa"/>
          </w:tblCellMar>
        </w:tblPrEx>
        <w:trPr>
          <w:trHeight w:val="810" w:hRule="atLeast"/>
        </w:trPr>
        <w:tc>
          <w:tcPr>
            <w:tcW w:w="1951" w:type="dxa"/>
            <w:tcBorders>
              <w:top w:val="single" w:color="000000" w:sz="4" w:space="0"/>
              <w:left w:val="single" w:color="000000" w:sz="4" w:space="0"/>
              <w:bottom w:val="single" w:color="000000" w:sz="4" w:space="0"/>
              <w:right w:val="single" w:color="000000" w:sz="4" w:space="0"/>
            </w:tcBorders>
            <w:vAlign w:val="center"/>
          </w:tcPr>
          <w:p w14:paraId="09D56411">
            <w:pPr>
              <w:spacing w:after="0" w:line="259" w:lineRule="auto"/>
              <w:ind w:left="1" w:right="0" w:firstLine="0"/>
              <w:jc w:val="both"/>
            </w:pPr>
            <w:r>
              <w:rPr>
                <w:rFonts w:ascii="Times New Roman" w:hAnsi="Times New Roman" w:eastAsia="Times New Roman" w:cs="Times New Roman"/>
                <w:sz w:val="24"/>
              </w:rPr>
              <w:t>2008</w:t>
            </w:r>
            <w:r>
              <w:rPr>
                <w:rFonts w:ascii="宋体" w:hAnsi="宋体" w:eastAsia="宋体" w:cs="宋体"/>
                <w:sz w:val="24"/>
              </w:rPr>
              <w:t>年开始实施</w:t>
            </w:r>
          </w:p>
        </w:tc>
        <w:tc>
          <w:tcPr>
            <w:tcW w:w="3611" w:type="dxa"/>
            <w:tcBorders>
              <w:top w:val="single" w:color="000000" w:sz="4" w:space="0"/>
              <w:left w:val="single" w:color="000000" w:sz="4" w:space="0"/>
              <w:bottom w:val="single" w:color="000000" w:sz="4" w:space="0"/>
              <w:right w:val="single" w:color="000000" w:sz="4" w:space="0"/>
            </w:tcBorders>
          </w:tcPr>
          <w:p w14:paraId="36A76C1C">
            <w:pPr>
              <w:spacing w:after="0" w:line="259" w:lineRule="auto"/>
              <w:ind w:left="1" w:right="0" w:firstLine="0"/>
            </w:pPr>
            <w:r>
              <w:rPr>
                <w:rFonts w:ascii="宋体" w:hAnsi="宋体" w:eastAsia="宋体" w:cs="宋体"/>
                <w:sz w:val="24"/>
              </w:rPr>
              <w:t>《中华人民共和国企业所得税法》及其实施条例</w:t>
            </w:r>
          </w:p>
        </w:tc>
        <w:tc>
          <w:tcPr>
            <w:tcW w:w="3724" w:type="dxa"/>
            <w:tcBorders>
              <w:top w:val="single" w:color="000000" w:sz="4" w:space="0"/>
              <w:left w:val="single" w:color="000000" w:sz="4" w:space="0"/>
              <w:bottom w:val="single" w:color="000000" w:sz="4" w:space="0"/>
              <w:right w:val="single" w:color="000000" w:sz="4" w:space="0"/>
            </w:tcBorders>
          </w:tcPr>
          <w:p w14:paraId="652905D8">
            <w:pPr>
              <w:spacing w:after="0" w:line="259" w:lineRule="auto"/>
              <w:ind w:right="0" w:firstLine="0"/>
            </w:pPr>
            <w:r>
              <w:rPr>
                <w:rFonts w:ascii="宋体" w:hAnsi="宋体" w:eastAsia="宋体" w:cs="宋体"/>
                <w:sz w:val="24"/>
              </w:rPr>
              <w:t>以法律形式确认研发费用加计扣除政策。</w:t>
            </w:r>
          </w:p>
        </w:tc>
      </w:tr>
      <w:tr w14:paraId="3AAB620D">
        <w:tblPrEx>
          <w:tblCellMar>
            <w:top w:w="115" w:type="dxa"/>
            <w:left w:w="107" w:type="dxa"/>
            <w:bottom w:w="0" w:type="dxa"/>
            <w:right w:w="0" w:type="dxa"/>
          </w:tblCellMar>
        </w:tblPrEx>
        <w:trPr>
          <w:trHeight w:val="1610" w:hRule="atLeast"/>
        </w:trPr>
        <w:tc>
          <w:tcPr>
            <w:tcW w:w="1951" w:type="dxa"/>
            <w:tcBorders>
              <w:top w:val="single" w:color="000000" w:sz="4" w:space="0"/>
              <w:left w:val="single" w:color="000000" w:sz="4" w:space="0"/>
              <w:bottom w:val="single" w:color="000000" w:sz="4" w:space="0"/>
              <w:right w:val="single" w:color="000000" w:sz="4" w:space="0"/>
            </w:tcBorders>
            <w:vAlign w:val="center"/>
          </w:tcPr>
          <w:p w14:paraId="2115BBB6">
            <w:pPr>
              <w:spacing w:after="0" w:line="259" w:lineRule="auto"/>
              <w:ind w:left="179" w:right="0" w:firstLine="0"/>
            </w:pPr>
            <w:r>
              <w:rPr>
                <w:rFonts w:ascii="Times New Roman" w:hAnsi="Times New Roman" w:eastAsia="Times New Roman" w:cs="Times New Roman"/>
                <w:sz w:val="24"/>
              </w:rPr>
              <w:t>2008</w:t>
            </w:r>
            <w:r>
              <w:rPr>
                <w:rFonts w:ascii="宋体" w:hAnsi="宋体" w:eastAsia="宋体" w:cs="宋体"/>
                <w:sz w:val="24"/>
              </w:rPr>
              <w:t>年</w:t>
            </w:r>
            <w:r>
              <w:rPr>
                <w:rFonts w:ascii="Times New Roman" w:hAnsi="Times New Roman" w:eastAsia="Times New Roman" w:cs="Times New Roman"/>
                <w:sz w:val="24"/>
              </w:rPr>
              <w:t>12</w:t>
            </w:r>
            <w:r>
              <w:rPr>
                <w:rFonts w:ascii="宋体" w:hAnsi="宋体" w:eastAsia="宋体" w:cs="宋体"/>
                <w:sz w:val="24"/>
              </w:rPr>
              <w:t>月</w:t>
            </w:r>
          </w:p>
        </w:tc>
        <w:tc>
          <w:tcPr>
            <w:tcW w:w="3611" w:type="dxa"/>
            <w:tcBorders>
              <w:top w:val="single" w:color="000000" w:sz="4" w:space="0"/>
              <w:left w:val="single" w:color="000000" w:sz="4" w:space="0"/>
              <w:bottom w:val="single" w:color="000000" w:sz="4" w:space="0"/>
              <w:right w:val="single" w:color="000000" w:sz="4" w:space="0"/>
            </w:tcBorders>
          </w:tcPr>
          <w:p w14:paraId="34816AF0">
            <w:pPr>
              <w:spacing w:after="0" w:line="320" w:lineRule="auto"/>
              <w:ind w:left="1" w:right="0" w:firstLine="0"/>
            </w:pPr>
            <w:r>
              <w:rPr>
                <w:rFonts w:ascii="宋体" w:hAnsi="宋体" w:eastAsia="宋体" w:cs="宋体"/>
                <w:sz w:val="24"/>
              </w:rPr>
              <w:t>《国家税务总局关于印发</w:t>
            </w:r>
            <w:r>
              <w:rPr>
                <w:rFonts w:ascii="Times New Roman" w:hAnsi="Times New Roman" w:eastAsia="Times New Roman" w:cs="Times New Roman"/>
                <w:sz w:val="24"/>
              </w:rPr>
              <w:t>&lt;</w:t>
            </w:r>
            <w:r>
              <w:rPr>
                <w:rFonts w:ascii="宋体" w:hAnsi="宋体" w:eastAsia="宋体" w:cs="宋体"/>
                <w:sz w:val="24"/>
              </w:rPr>
              <w:t>企业研究开发费用税前扣除管理办法</w:t>
            </w:r>
          </w:p>
          <w:p w14:paraId="6D247CF2">
            <w:pPr>
              <w:spacing w:after="83" w:line="259" w:lineRule="auto"/>
              <w:ind w:left="1" w:right="-11" w:firstLine="0"/>
              <w:jc w:val="both"/>
            </w:pPr>
            <w:r>
              <w:rPr>
                <w:rFonts w:ascii="宋体" w:hAnsi="宋体" w:eastAsia="宋体" w:cs="宋体"/>
                <w:sz w:val="24"/>
              </w:rPr>
              <w:t>（试行）</w:t>
            </w:r>
            <w:r>
              <w:rPr>
                <w:rFonts w:ascii="Times New Roman" w:hAnsi="Times New Roman" w:eastAsia="Times New Roman" w:cs="Times New Roman"/>
                <w:sz w:val="24"/>
              </w:rPr>
              <w:t>&gt;</w:t>
            </w:r>
            <w:r>
              <w:rPr>
                <w:rFonts w:ascii="宋体" w:hAnsi="宋体" w:eastAsia="宋体" w:cs="宋体"/>
                <w:sz w:val="24"/>
              </w:rPr>
              <w:t>的通知》（国税发〔</w:t>
            </w:r>
            <w:r>
              <w:rPr>
                <w:rFonts w:ascii="Times New Roman" w:hAnsi="Times New Roman" w:eastAsia="Times New Roman" w:cs="Times New Roman"/>
                <w:sz w:val="24"/>
              </w:rPr>
              <w:t>2008</w:t>
            </w:r>
            <w:r>
              <w:rPr>
                <w:rFonts w:ascii="宋体" w:hAnsi="宋体" w:eastAsia="宋体" w:cs="宋体"/>
                <w:sz w:val="24"/>
              </w:rPr>
              <w:t>〕</w:t>
            </w:r>
          </w:p>
          <w:p w14:paraId="69A9F40F">
            <w:pPr>
              <w:spacing w:after="0" w:line="259" w:lineRule="auto"/>
              <w:ind w:left="1" w:right="0" w:firstLine="0"/>
            </w:pPr>
            <w:r>
              <w:rPr>
                <w:rFonts w:ascii="Times New Roman" w:hAnsi="Times New Roman" w:eastAsia="Times New Roman" w:cs="Times New Roman"/>
                <w:sz w:val="24"/>
              </w:rPr>
              <w:t>116</w:t>
            </w:r>
            <w:r>
              <w:rPr>
                <w:rFonts w:ascii="宋体" w:hAnsi="宋体" w:eastAsia="宋体" w:cs="宋体"/>
                <w:sz w:val="24"/>
              </w:rPr>
              <w:t>号）</w:t>
            </w:r>
          </w:p>
        </w:tc>
        <w:tc>
          <w:tcPr>
            <w:tcW w:w="3724" w:type="dxa"/>
            <w:tcBorders>
              <w:top w:val="single" w:color="000000" w:sz="4" w:space="0"/>
              <w:left w:val="single" w:color="000000" w:sz="4" w:space="0"/>
              <w:bottom w:val="single" w:color="000000" w:sz="4" w:space="0"/>
              <w:right w:val="single" w:color="000000" w:sz="4" w:space="0"/>
            </w:tcBorders>
            <w:vAlign w:val="center"/>
          </w:tcPr>
          <w:p w14:paraId="011A7B37">
            <w:pPr>
              <w:spacing w:after="0" w:line="259" w:lineRule="auto"/>
              <w:ind w:right="0" w:firstLine="0"/>
            </w:pPr>
            <w:r>
              <w:rPr>
                <w:rFonts w:ascii="宋体" w:hAnsi="宋体" w:eastAsia="宋体" w:cs="宋体"/>
                <w:sz w:val="24"/>
              </w:rPr>
              <w:t>对研发费用加计扣除政策作出系统、详细规定。</w:t>
            </w:r>
          </w:p>
        </w:tc>
      </w:tr>
      <w:tr w14:paraId="493D46CB">
        <w:tblPrEx>
          <w:tblCellMar>
            <w:top w:w="115" w:type="dxa"/>
            <w:left w:w="107" w:type="dxa"/>
            <w:bottom w:w="0" w:type="dxa"/>
            <w:right w:w="0" w:type="dxa"/>
          </w:tblCellMar>
        </w:tblPrEx>
        <w:trPr>
          <w:trHeight w:val="2010" w:hRule="atLeast"/>
        </w:trPr>
        <w:tc>
          <w:tcPr>
            <w:tcW w:w="1951" w:type="dxa"/>
            <w:vMerge w:val="restart"/>
            <w:tcBorders>
              <w:top w:val="single" w:color="000000" w:sz="4" w:space="0"/>
              <w:left w:val="single" w:color="000000" w:sz="4" w:space="0"/>
              <w:bottom w:val="single" w:color="000000" w:sz="4" w:space="0"/>
              <w:right w:val="single" w:color="000000" w:sz="4" w:space="0"/>
            </w:tcBorders>
            <w:vAlign w:val="center"/>
          </w:tcPr>
          <w:p w14:paraId="16CE799D">
            <w:pPr>
              <w:spacing w:after="0" w:line="259" w:lineRule="auto"/>
              <w:ind w:left="184" w:right="0" w:firstLine="0"/>
            </w:pPr>
            <w:r>
              <w:rPr>
                <w:rFonts w:ascii="Times New Roman" w:hAnsi="Times New Roman" w:eastAsia="Times New Roman" w:cs="Times New Roman"/>
                <w:sz w:val="24"/>
              </w:rPr>
              <w:t>2015</w:t>
            </w:r>
            <w:r>
              <w:rPr>
                <w:rFonts w:ascii="宋体" w:hAnsi="宋体" w:eastAsia="宋体" w:cs="宋体"/>
                <w:sz w:val="24"/>
              </w:rPr>
              <w:t>年</w:t>
            </w:r>
            <w:r>
              <w:rPr>
                <w:rFonts w:ascii="Times New Roman" w:hAnsi="Times New Roman" w:eastAsia="Times New Roman" w:cs="Times New Roman"/>
                <w:sz w:val="24"/>
              </w:rPr>
              <w:t>11</w:t>
            </w:r>
            <w:r>
              <w:rPr>
                <w:rFonts w:ascii="宋体" w:hAnsi="宋体" w:eastAsia="宋体" w:cs="宋体"/>
                <w:sz w:val="24"/>
              </w:rPr>
              <w:t>月</w:t>
            </w:r>
          </w:p>
        </w:tc>
        <w:tc>
          <w:tcPr>
            <w:tcW w:w="3611" w:type="dxa"/>
            <w:tcBorders>
              <w:top w:val="single" w:color="000000" w:sz="4" w:space="0"/>
              <w:left w:val="single" w:color="000000" w:sz="4" w:space="0"/>
              <w:bottom w:val="single" w:color="000000" w:sz="4" w:space="0"/>
              <w:right w:val="single" w:color="000000" w:sz="4" w:space="0"/>
            </w:tcBorders>
            <w:vAlign w:val="center"/>
          </w:tcPr>
          <w:p w14:paraId="2FAC3AAA">
            <w:pPr>
              <w:spacing w:after="0" w:line="327" w:lineRule="auto"/>
              <w:ind w:left="1" w:right="0" w:firstLine="0"/>
            </w:pPr>
            <w:r>
              <w:rPr>
                <w:rFonts w:ascii="宋体" w:hAnsi="宋体" w:eastAsia="宋体" w:cs="宋体"/>
                <w:sz w:val="24"/>
              </w:rPr>
              <w:t>《财政部 国家税务总局 科技部关于完善研究开发费用税前加计</w:t>
            </w:r>
          </w:p>
          <w:p w14:paraId="102F1142">
            <w:pPr>
              <w:spacing w:after="84" w:line="259" w:lineRule="auto"/>
              <w:ind w:left="1" w:right="-11" w:firstLine="0"/>
              <w:jc w:val="both"/>
            </w:pPr>
            <w:r>
              <w:rPr>
                <w:rFonts w:ascii="宋体" w:hAnsi="宋体" w:eastAsia="宋体" w:cs="宋体"/>
                <w:sz w:val="24"/>
              </w:rPr>
              <w:t>扣除政策的通知》（财税〔</w:t>
            </w:r>
            <w:r>
              <w:rPr>
                <w:rFonts w:ascii="Times New Roman" w:hAnsi="Times New Roman" w:eastAsia="Times New Roman" w:cs="Times New Roman"/>
                <w:sz w:val="24"/>
              </w:rPr>
              <w:t>2015</w:t>
            </w:r>
            <w:r>
              <w:rPr>
                <w:rFonts w:ascii="宋体" w:hAnsi="宋体" w:eastAsia="宋体" w:cs="宋体"/>
                <w:sz w:val="24"/>
              </w:rPr>
              <w:t>〕</w:t>
            </w:r>
          </w:p>
          <w:p w14:paraId="0ABB7D67">
            <w:pPr>
              <w:spacing w:after="0" w:line="259" w:lineRule="auto"/>
              <w:ind w:left="1" w:right="0" w:firstLine="0"/>
            </w:pPr>
            <w:r>
              <w:rPr>
                <w:rFonts w:ascii="Times New Roman" w:hAnsi="Times New Roman" w:eastAsia="Times New Roman" w:cs="Times New Roman"/>
                <w:sz w:val="24"/>
              </w:rPr>
              <w:t>119</w:t>
            </w:r>
            <w:r>
              <w:rPr>
                <w:rFonts w:ascii="宋体" w:hAnsi="宋体" w:eastAsia="宋体" w:cs="宋体"/>
                <w:sz w:val="24"/>
              </w:rPr>
              <w:t>号）</w:t>
            </w:r>
          </w:p>
        </w:tc>
        <w:tc>
          <w:tcPr>
            <w:tcW w:w="3724" w:type="dxa"/>
            <w:tcBorders>
              <w:top w:val="single" w:color="000000" w:sz="4" w:space="0"/>
              <w:left w:val="single" w:color="000000" w:sz="4" w:space="0"/>
              <w:bottom w:val="single" w:color="000000" w:sz="4" w:space="0"/>
              <w:right w:val="single" w:color="000000" w:sz="4" w:space="0"/>
            </w:tcBorders>
          </w:tcPr>
          <w:p w14:paraId="6931AD54">
            <w:pPr>
              <w:spacing w:after="0" w:line="259" w:lineRule="auto"/>
              <w:ind w:right="0" w:firstLine="0"/>
            </w:pPr>
            <w:r>
              <w:rPr>
                <w:rFonts w:ascii="宋体" w:hAnsi="宋体" w:eastAsia="宋体" w:cs="宋体"/>
                <w:sz w:val="24"/>
              </w:rPr>
              <w:t>放宽了享受优惠的企业研发活动及研发费用的范围，大幅减少了研发费用加计扣除口径与高新技术企业认定研发费用归集口径的差异。</w:t>
            </w:r>
          </w:p>
        </w:tc>
      </w:tr>
      <w:tr w14:paraId="352E1174">
        <w:tblPrEx>
          <w:tblCellMar>
            <w:top w:w="115" w:type="dxa"/>
            <w:left w:w="107" w:type="dxa"/>
            <w:bottom w:w="0" w:type="dxa"/>
            <w:right w:w="0" w:type="dxa"/>
          </w:tblCellMar>
        </w:tblPrEx>
        <w:trPr>
          <w:trHeight w:val="1210" w:hRule="atLeast"/>
        </w:trPr>
        <w:tc>
          <w:tcPr>
            <w:tcW w:w="0" w:type="auto"/>
            <w:vMerge w:val="continue"/>
            <w:tcBorders>
              <w:top w:val="nil"/>
              <w:left w:val="single" w:color="000000" w:sz="4" w:space="0"/>
              <w:bottom w:val="single" w:color="000000" w:sz="4" w:space="0"/>
              <w:right w:val="single" w:color="000000" w:sz="4" w:space="0"/>
            </w:tcBorders>
          </w:tcPr>
          <w:p w14:paraId="21CD63F6">
            <w:pPr>
              <w:spacing w:after="160" w:line="259" w:lineRule="auto"/>
              <w:ind w:right="0" w:firstLine="0"/>
            </w:pPr>
          </w:p>
        </w:tc>
        <w:tc>
          <w:tcPr>
            <w:tcW w:w="3611" w:type="dxa"/>
            <w:tcBorders>
              <w:top w:val="single" w:color="000000" w:sz="4" w:space="0"/>
              <w:left w:val="single" w:color="000000" w:sz="4" w:space="0"/>
              <w:bottom w:val="single" w:color="000000" w:sz="4" w:space="0"/>
              <w:right w:val="single" w:color="000000" w:sz="4" w:space="0"/>
            </w:tcBorders>
          </w:tcPr>
          <w:p w14:paraId="0D118AE5">
            <w:pPr>
              <w:spacing w:after="0" w:line="259" w:lineRule="auto"/>
              <w:ind w:left="1" w:right="0" w:firstLine="0"/>
            </w:pPr>
            <w:r>
              <w:rPr>
                <w:rFonts w:ascii="宋体" w:hAnsi="宋体" w:eastAsia="宋体" w:cs="宋体"/>
                <w:sz w:val="24"/>
              </w:rPr>
              <w:t>《国家税务总局关于企业研究开发费用税前加计扣除政策有关问题的公告》（</w:t>
            </w:r>
            <w:r>
              <w:rPr>
                <w:rFonts w:ascii="Times New Roman" w:hAnsi="Times New Roman" w:eastAsia="Times New Roman" w:cs="Times New Roman"/>
                <w:sz w:val="24"/>
              </w:rPr>
              <w:t>2015</w:t>
            </w:r>
            <w:r>
              <w:rPr>
                <w:rFonts w:ascii="宋体" w:hAnsi="宋体" w:eastAsia="宋体" w:cs="宋体"/>
                <w:sz w:val="24"/>
              </w:rPr>
              <w:t>年第</w:t>
            </w:r>
            <w:r>
              <w:rPr>
                <w:rFonts w:ascii="Times New Roman" w:hAnsi="Times New Roman" w:eastAsia="Times New Roman" w:cs="Times New Roman"/>
                <w:sz w:val="24"/>
              </w:rPr>
              <w:t>97</w:t>
            </w:r>
            <w:r>
              <w:rPr>
                <w:rFonts w:ascii="宋体" w:hAnsi="宋体" w:eastAsia="宋体" w:cs="宋体"/>
                <w:sz w:val="24"/>
              </w:rPr>
              <w:t>号）</w:t>
            </w:r>
          </w:p>
        </w:tc>
        <w:tc>
          <w:tcPr>
            <w:tcW w:w="3724" w:type="dxa"/>
            <w:tcBorders>
              <w:top w:val="single" w:color="000000" w:sz="4" w:space="0"/>
              <w:left w:val="single" w:color="000000" w:sz="4" w:space="0"/>
              <w:bottom w:val="single" w:color="000000" w:sz="4" w:space="0"/>
              <w:right w:val="single" w:color="000000" w:sz="4" w:space="0"/>
            </w:tcBorders>
            <w:vAlign w:val="center"/>
          </w:tcPr>
          <w:p w14:paraId="431A3FCD">
            <w:pPr>
              <w:spacing w:after="0" w:line="259" w:lineRule="auto"/>
              <w:ind w:right="0" w:firstLine="0"/>
            </w:pPr>
            <w:r>
              <w:rPr>
                <w:rFonts w:ascii="宋体" w:hAnsi="宋体" w:eastAsia="宋体" w:cs="宋体"/>
                <w:sz w:val="24"/>
              </w:rPr>
              <w:t>细化研发费用加计扣除政策口径及管理要求，提高政策可操作性。</w:t>
            </w:r>
          </w:p>
        </w:tc>
      </w:tr>
      <w:tr w14:paraId="1B501C49">
        <w:tblPrEx>
          <w:tblCellMar>
            <w:top w:w="115" w:type="dxa"/>
            <w:left w:w="107" w:type="dxa"/>
            <w:bottom w:w="0" w:type="dxa"/>
            <w:right w:w="0" w:type="dxa"/>
          </w:tblCellMar>
        </w:tblPrEx>
        <w:trPr>
          <w:trHeight w:val="1610" w:hRule="atLeast"/>
        </w:trPr>
        <w:tc>
          <w:tcPr>
            <w:tcW w:w="1951" w:type="dxa"/>
            <w:vMerge w:val="restart"/>
            <w:tcBorders>
              <w:top w:val="single" w:color="000000" w:sz="4" w:space="0"/>
              <w:left w:val="single" w:color="000000" w:sz="4" w:space="0"/>
              <w:bottom w:val="single" w:color="000000" w:sz="4" w:space="0"/>
              <w:right w:val="single" w:color="000000" w:sz="4" w:space="0"/>
            </w:tcBorders>
            <w:vAlign w:val="center"/>
          </w:tcPr>
          <w:p w14:paraId="296F88CA">
            <w:pPr>
              <w:spacing w:after="0" w:line="259" w:lineRule="auto"/>
              <w:ind w:right="106" w:firstLine="0"/>
              <w:jc w:val="center"/>
            </w:pPr>
            <w:r>
              <w:rPr>
                <w:rFonts w:ascii="Times New Roman" w:hAnsi="Times New Roman" w:eastAsia="Times New Roman" w:cs="Times New Roman"/>
                <w:sz w:val="24"/>
              </w:rPr>
              <w:t>2017</w:t>
            </w:r>
            <w:r>
              <w:rPr>
                <w:rFonts w:ascii="宋体" w:hAnsi="宋体" w:eastAsia="宋体" w:cs="宋体"/>
                <w:sz w:val="24"/>
              </w:rPr>
              <w:t>年</w:t>
            </w:r>
            <w:r>
              <w:rPr>
                <w:rFonts w:ascii="Times New Roman" w:hAnsi="Times New Roman" w:eastAsia="Times New Roman" w:cs="Times New Roman"/>
                <w:sz w:val="24"/>
              </w:rPr>
              <w:t>5</w:t>
            </w:r>
            <w:r>
              <w:rPr>
                <w:rFonts w:ascii="宋体" w:hAnsi="宋体" w:eastAsia="宋体" w:cs="宋体"/>
                <w:sz w:val="24"/>
              </w:rPr>
              <w:t>月</w:t>
            </w:r>
          </w:p>
        </w:tc>
        <w:tc>
          <w:tcPr>
            <w:tcW w:w="3611" w:type="dxa"/>
            <w:tcBorders>
              <w:top w:val="single" w:color="000000" w:sz="4" w:space="0"/>
              <w:left w:val="single" w:color="000000" w:sz="4" w:space="0"/>
              <w:bottom w:val="single" w:color="000000" w:sz="4" w:space="0"/>
              <w:right w:val="single" w:color="000000" w:sz="4" w:space="0"/>
            </w:tcBorders>
          </w:tcPr>
          <w:p w14:paraId="215115BD">
            <w:pPr>
              <w:spacing w:after="0" w:line="259" w:lineRule="auto"/>
              <w:ind w:left="1" w:right="0" w:firstLine="0"/>
            </w:pPr>
            <w:r>
              <w:rPr>
                <w:rFonts w:ascii="宋体" w:hAnsi="宋体" w:eastAsia="宋体" w:cs="宋体"/>
                <w:sz w:val="24"/>
              </w:rPr>
              <w:t>《财政部 税务总局 科技部关于提高科技型中小企业研究开发费用税前加计扣除比例的通知》（财税〔</w:t>
            </w:r>
            <w:r>
              <w:rPr>
                <w:rFonts w:ascii="Times New Roman" w:hAnsi="Times New Roman" w:eastAsia="Times New Roman" w:cs="Times New Roman"/>
                <w:sz w:val="24"/>
              </w:rPr>
              <w:t>2017</w:t>
            </w:r>
            <w:r>
              <w:rPr>
                <w:rFonts w:ascii="宋体" w:hAnsi="宋体" w:eastAsia="宋体" w:cs="宋体"/>
                <w:sz w:val="24"/>
              </w:rPr>
              <w:t>〕</w:t>
            </w:r>
            <w:r>
              <w:rPr>
                <w:rFonts w:ascii="Times New Roman" w:hAnsi="Times New Roman" w:eastAsia="Times New Roman" w:cs="Times New Roman"/>
                <w:sz w:val="24"/>
              </w:rPr>
              <w:t>34</w:t>
            </w:r>
            <w:r>
              <w:rPr>
                <w:rFonts w:ascii="宋体" w:hAnsi="宋体" w:eastAsia="宋体" w:cs="宋体"/>
                <w:sz w:val="24"/>
              </w:rPr>
              <w:t>号）</w:t>
            </w:r>
          </w:p>
        </w:tc>
        <w:tc>
          <w:tcPr>
            <w:tcW w:w="3724" w:type="dxa"/>
            <w:tcBorders>
              <w:top w:val="single" w:color="000000" w:sz="4" w:space="0"/>
              <w:left w:val="single" w:color="000000" w:sz="4" w:space="0"/>
              <w:bottom w:val="single" w:color="000000" w:sz="4" w:space="0"/>
              <w:right w:val="single" w:color="000000" w:sz="4" w:space="0"/>
            </w:tcBorders>
            <w:vAlign w:val="center"/>
          </w:tcPr>
          <w:p w14:paraId="18B99489">
            <w:pPr>
              <w:spacing w:after="70" w:line="259" w:lineRule="auto"/>
              <w:ind w:right="0" w:firstLine="0"/>
              <w:jc w:val="both"/>
            </w:pPr>
            <w:r>
              <w:rPr>
                <w:rFonts w:ascii="宋体" w:hAnsi="宋体" w:eastAsia="宋体" w:cs="宋体"/>
                <w:sz w:val="24"/>
              </w:rPr>
              <w:t>将科技型中小企业享受研发费用</w:t>
            </w:r>
          </w:p>
          <w:p w14:paraId="0F69507A">
            <w:pPr>
              <w:spacing w:after="0" w:line="259" w:lineRule="auto"/>
              <w:ind w:right="-12" w:firstLine="0"/>
              <w:jc w:val="both"/>
            </w:pPr>
            <w:r>
              <w:rPr>
                <w:rFonts w:ascii="宋体" w:hAnsi="宋体" w:eastAsia="宋体" w:cs="宋体"/>
                <w:sz w:val="24"/>
              </w:rPr>
              <w:t>加计扣除比例由</w:t>
            </w:r>
            <w:r>
              <w:rPr>
                <w:rFonts w:ascii="Times New Roman" w:hAnsi="Times New Roman" w:eastAsia="Times New Roman" w:cs="Times New Roman"/>
                <w:sz w:val="24"/>
              </w:rPr>
              <w:t>50%</w:t>
            </w:r>
            <w:r>
              <w:rPr>
                <w:rFonts w:ascii="宋体" w:hAnsi="宋体" w:eastAsia="宋体" w:cs="宋体"/>
                <w:sz w:val="24"/>
              </w:rPr>
              <w:t>提高到</w:t>
            </w:r>
            <w:r>
              <w:rPr>
                <w:rFonts w:ascii="Times New Roman" w:hAnsi="Times New Roman" w:eastAsia="Times New Roman" w:cs="Times New Roman"/>
                <w:sz w:val="24"/>
              </w:rPr>
              <w:t>75%</w:t>
            </w:r>
            <w:r>
              <w:rPr>
                <w:rFonts w:ascii="宋体" w:hAnsi="宋体" w:eastAsia="宋体" w:cs="宋体"/>
                <w:sz w:val="24"/>
              </w:rPr>
              <w:t>。</w:t>
            </w:r>
          </w:p>
        </w:tc>
      </w:tr>
      <w:tr w14:paraId="51B5ED0B">
        <w:tblPrEx>
          <w:tblCellMar>
            <w:top w:w="115" w:type="dxa"/>
            <w:left w:w="107" w:type="dxa"/>
            <w:bottom w:w="0" w:type="dxa"/>
            <w:right w:w="0" w:type="dxa"/>
          </w:tblCellMar>
        </w:tblPrEx>
        <w:trPr>
          <w:trHeight w:val="1610" w:hRule="atLeast"/>
        </w:trPr>
        <w:tc>
          <w:tcPr>
            <w:tcW w:w="0" w:type="auto"/>
            <w:vMerge w:val="continue"/>
            <w:tcBorders>
              <w:top w:val="nil"/>
              <w:left w:val="single" w:color="000000" w:sz="4" w:space="0"/>
              <w:bottom w:val="single" w:color="000000" w:sz="4" w:space="0"/>
              <w:right w:val="single" w:color="000000" w:sz="4" w:space="0"/>
            </w:tcBorders>
          </w:tcPr>
          <w:p w14:paraId="7E6C7ACB">
            <w:pPr>
              <w:spacing w:after="160" w:line="259" w:lineRule="auto"/>
              <w:ind w:right="0" w:firstLine="0"/>
            </w:pPr>
          </w:p>
        </w:tc>
        <w:tc>
          <w:tcPr>
            <w:tcW w:w="3611" w:type="dxa"/>
            <w:tcBorders>
              <w:top w:val="single" w:color="000000" w:sz="4" w:space="0"/>
              <w:left w:val="single" w:color="000000" w:sz="4" w:space="0"/>
              <w:bottom w:val="single" w:color="000000" w:sz="4" w:space="0"/>
              <w:right w:val="single" w:color="000000" w:sz="4" w:space="0"/>
            </w:tcBorders>
          </w:tcPr>
          <w:p w14:paraId="76F4DE7D">
            <w:pPr>
              <w:spacing w:after="0" w:line="259" w:lineRule="auto"/>
              <w:ind w:left="1" w:right="0" w:firstLine="0"/>
            </w:pPr>
            <w:r>
              <w:rPr>
                <w:rFonts w:ascii="宋体" w:hAnsi="宋体" w:eastAsia="宋体" w:cs="宋体"/>
                <w:sz w:val="24"/>
              </w:rPr>
              <w:t>《国家税务总局关于提高科技型中小企业研究开发费用税前加计扣除比例有关问题的公告》（</w:t>
            </w:r>
            <w:r>
              <w:rPr>
                <w:rFonts w:ascii="Times New Roman" w:hAnsi="Times New Roman" w:eastAsia="Times New Roman" w:cs="Times New Roman"/>
                <w:sz w:val="24"/>
              </w:rPr>
              <w:t xml:space="preserve">2017 </w:t>
            </w:r>
            <w:r>
              <w:rPr>
                <w:rFonts w:ascii="宋体" w:hAnsi="宋体" w:eastAsia="宋体" w:cs="宋体"/>
                <w:sz w:val="24"/>
              </w:rPr>
              <w:t>年第</w:t>
            </w:r>
            <w:r>
              <w:rPr>
                <w:rFonts w:ascii="Times New Roman" w:hAnsi="Times New Roman" w:eastAsia="Times New Roman" w:cs="Times New Roman"/>
                <w:sz w:val="24"/>
              </w:rPr>
              <w:t>18</w:t>
            </w:r>
            <w:r>
              <w:rPr>
                <w:rFonts w:ascii="宋体" w:hAnsi="宋体" w:eastAsia="宋体" w:cs="宋体"/>
                <w:sz w:val="24"/>
              </w:rPr>
              <w:t>号）</w:t>
            </w:r>
          </w:p>
        </w:tc>
        <w:tc>
          <w:tcPr>
            <w:tcW w:w="3724" w:type="dxa"/>
            <w:tcBorders>
              <w:top w:val="single" w:color="000000" w:sz="4" w:space="0"/>
              <w:left w:val="single" w:color="000000" w:sz="4" w:space="0"/>
              <w:bottom w:val="single" w:color="000000" w:sz="4" w:space="0"/>
              <w:right w:val="single" w:color="000000" w:sz="4" w:space="0"/>
            </w:tcBorders>
            <w:vAlign w:val="center"/>
          </w:tcPr>
          <w:p w14:paraId="4875D4E8">
            <w:pPr>
              <w:spacing w:after="0" w:line="259" w:lineRule="auto"/>
              <w:ind w:right="0" w:firstLine="0"/>
            </w:pPr>
            <w:r>
              <w:rPr>
                <w:rFonts w:ascii="宋体" w:hAnsi="宋体" w:eastAsia="宋体" w:cs="宋体"/>
                <w:sz w:val="24"/>
              </w:rPr>
              <w:t>进一步明确科技型中小企业研发费用加计扣除政策执行口径，保证优惠政策的贯彻实施。</w:t>
            </w:r>
          </w:p>
        </w:tc>
      </w:tr>
      <w:tr w14:paraId="30981EA7">
        <w:tblPrEx>
          <w:tblCellMar>
            <w:top w:w="115" w:type="dxa"/>
            <w:left w:w="107" w:type="dxa"/>
            <w:bottom w:w="0" w:type="dxa"/>
            <w:right w:w="0" w:type="dxa"/>
          </w:tblCellMar>
        </w:tblPrEx>
        <w:trPr>
          <w:trHeight w:val="408" w:hRule="atLeast"/>
        </w:trPr>
        <w:tc>
          <w:tcPr>
            <w:tcW w:w="1951" w:type="dxa"/>
            <w:tcBorders>
              <w:top w:val="single" w:color="000000" w:sz="4" w:space="0"/>
              <w:left w:val="single" w:color="000000" w:sz="4" w:space="0"/>
              <w:bottom w:val="single" w:color="000000" w:sz="4" w:space="0"/>
              <w:right w:val="single" w:color="000000" w:sz="4" w:space="0"/>
            </w:tcBorders>
          </w:tcPr>
          <w:p w14:paraId="012F86A2">
            <w:pPr>
              <w:spacing w:after="0" w:line="259" w:lineRule="auto"/>
              <w:ind w:left="184" w:right="0" w:firstLine="0"/>
            </w:pPr>
            <w:r>
              <w:rPr>
                <w:rFonts w:ascii="Times New Roman" w:hAnsi="Times New Roman" w:eastAsia="Times New Roman" w:cs="Times New Roman"/>
                <w:sz w:val="24"/>
              </w:rPr>
              <w:t>2017</w:t>
            </w:r>
            <w:r>
              <w:rPr>
                <w:rFonts w:ascii="宋体" w:hAnsi="宋体" w:eastAsia="宋体" w:cs="宋体"/>
                <w:sz w:val="24"/>
              </w:rPr>
              <w:t>年</w:t>
            </w:r>
            <w:r>
              <w:rPr>
                <w:rFonts w:ascii="Times New Roman" w:hAnsi="Times New Roman" w:eastAsia="Times New Roman" w:cs="Times New Roman"/>
                <w:sz w:val="24"/>
              </w:rPr>
              <w:t>11</w:t>
            </w:r>
            <w:r>
              <w:rPr>
                <w:rFonts w:ascii="宋体" w:hAnsi="宋体" w:eastAsia="宋体" w:cs="宋体"/>
                <w:sz w:val="24"/>
              </w:rPr>
              <w:t>月</w:t>
            </w:r>
          </w:p>
        </w:tc>
        <w:tc>
          <w:tcPr>
            <w:tcW w:w="3611" w:type="dxa"/>
            <w:tcBorders>
              <w:top w:val="single" w:color="000000" w:sz="4" w:space="0"/>
              <w:left w:val="single" w:color="000000" w:sz="4" w:space="0"/>
              <w:bottom w:val="single" w:color="000000" w:sz="4" w:space="0"/>
              <w:right w:val="single" w:color="000000" w:sz="4" w:space="0"/>
            </w:tcBorders>
          </w:tcPr>
          <w:p w14:paraId="05271D8B">
            <w:pPr>
              <w:spacing w:after="0" w:line="259" w:lineRule="auto"/>
              <w:ind w:left="1" w:right="0" w:firstLine="0"/>
              <w:jc w:val="both"/>
            </w:pPr>
            <w:r>
              <w:rPr>
                <w:rFonts w:ascii="宋体" w:hAnsi="宋体" w:eastAsia="宋体" w:cs="宋体"/>
                <w:sz w:val="24"/>
              </w:rPr>
              <w:t>《国家税务总局关于研发费用税</w:t>
            </w:r>
          </w:p>
        </w:tc>
        <w:tc>
          <w:tcPr>
            <w:tcW w:w="3724" w:type="dxa"/>
            <w:tcBorders>
              <w:top w:val="single" w:color="000000" w:sz="4" w:space="0"/>
              <w:left w:val="single" w:color="000000" w:sz="4" w:space="0"/>
              <w:bottom w:val="single" w:color="000000" w:sz="4" w:space="0"/>
              <w:right w:val="single" w:color="000000" w:sz="4" w:space="0"/>
            </w:tcBorders>
          </w:tcPr>
          <w:p w14:paraId="4FC3F8B5">
            <w:pPr>
              <w:spacing w:after="0" w:line="259" w:lineRule="auto"/>
              <w:ind w:right="0" w:firstLine="0"/>
              <w:jc w:val="both"/>
            </w:pPr>
            <w:r>
              <w:rPr>
                <w:rFonts w:ascii="宋体" w:hAnsi="宋体" w:eastAsia="宋体" w:cs="宋体"/>
                <w:sz w:val="24"/>
              </w:rPr>
              <w:t>进一步完善和明确了部分研发费</w:t>
            </w:r>
          </w:p>
        </w:tc>
      </w:tr>
    </w:tbl>
    <w:p w14:paraId="0570DB49">
      <w:pPr>
        <w:spacing w:after="0" w:line="259" w:lineRule="auto"/>
        <w:ind w:left="-1418" w:right="34" w:firstLine="0"/>
      </w:pPr>
    </w:p>
    <w:tbl>
      <w:tblPr>
        <w:tblStyle w:val="11"/>
        <w:tblW w:w="9286" w:type="dxa"/>
        <w:tblInd w:w="-108" w:type="dxa"/>
        <w:tblLayout w:type="autofit"/>
        <w:tblCellMar>
          <w:top w:w="115" w:type="dxa"/>
          <w:left w:w="107" w:type="dxa"/>
          <w:bottom w:w="0" w:type="dxa"/>
          <w:right w:w="0" w:type="dxa"/>
        </w:tblCellMar>
      </w:tblPr>
      <w:tblGrid>
        <w:gridCol w:w="1951"/>
        <w:gridCol w:w="3611"/>
        <w:gridCol w:w="3724"/>
      </w:tblGrid>
      <w:tr w14:paraId="148199FC">
        <w:tblPrEx>
          <w:tblCellMar>
            <w:top w:w="115" w:type="dxa"/>
            <w:left w:w="107" w:type="dxa"/>
            <w:bottom w:w="0" w:type="dxa"/>
            <w:right w:w="0" w:type="dxa"/>
          </w:tblCellMar>
        </w:tblPrEx>
        <w:trPr>
          <w:trHeight w:val="410" w:hRule="atLeast"/>
        </w:trPr>
        <w:tc>
          <w:tcPr>
            <w:tcW w:w="1951" w:type="dxa"/>
            <w:tcBorders>
              <w:top w:val="single" w:color="000000" w:sz="4" w:space="0"/>
              <w:left w:val="single" w:color="000000" w:sz="4" w:space="0"/>
              <w:bottom w:val="single" w:color="000000" w:sz="4" w:space="0"/>
              <w:right w:val="single" w:color="000000" w:sz="4" w:space="0"/>
            </w:tcBorders>
          </w:tcPr>
          <w:p w14:paraId="74E2372D">
            <w:pPr>
              <w:spacing w:after="0" w:line="259" w:lineRule="auto"/>
              <w:ind w:right="109" w:firstLine="0"/>
              <w:jc w:val="center"/>
            </w:pPr>
            <w:r>
              <w:rPr>
                <w:rFonts w:ascii="宋体" w:hAnsi="宋体" w:eastAsia="宋体" w:cs="宋体"/>
                <w:sz w:val="24"/>
              </w:rPr>
              <w:t>时间</w:t>
            </w:r>
          </w:p>
        </w:tc>
        <w:tc>
          <w:tcPr>
            <w:tcW w:w="3611" w:type="dxa"/>
            <w:tcBorders>
              <w:top w:val="single" w:color="000000" w:sz="4" w:space="0"/>
              <w:left w:val="single" w:color="000000" w:sz="4" w:space="0"/>
              <w:bottom w:val="single" w:color="000000" w:sz="4" w:space="0"/>
              <w:right w:val="single" w:color="000000" w:sz="4" w:space="0"/>
            </w:tcBorders>
          </w:tcPr>
          <w:p w14:paraId="1290AFD8">
            <w:pPr>
              <w:spacing w:after="0" w:line="259" w:lineRule="auto"/>
              <w:ind w:right="107" w:firstLine="0"/>
              <w:jc w:val="center"/>
            </w:pPr>
            <w:r>
              <w:rPr>
                <w:rFonts w:ascii="宋体" w:hAnsi="宋体" w:eastAsia="宋体" w:cs="宋体"/>
                <w:sz w:val="24"/>
              </w:rPr>
              <w:t>政策</w:t>
            </w:r>
          </w:p>
        </w:tc>
        <w:tc>
          <w:tcPr>
            <w:tcW w:w="3724" w:type="dxa"/>
            <w:tcBorders>
              <w:top w:val="single" w:color="000000" w:sz="4" w:space="0"/>
              <w:left w:val="single" w:color="000000" w:sz="4" w:space="0"/>
              <w:bottom w:val="single" w:color="000000" w:sz="4" w:space="0"/>
              <w:right w:val="single" w:color="000000" w:sz="4" w:space="0"/>
            </w:tcBorders>
          </w:tcPr>
          <w:p w14:paraId="66C76BC5">
            <w:pPr>
              <w:spacing w:after="0" w:line="259" w:lineRule="auto"/>
              <w:ind w:right="106" w:firstLine="0"/>
              <w:jc w:val="center"/>
            </w:pPr>
            <w:r>
              <w:rPr>
                <w:rFonts w:ascii="宋体" w:hAnsi="宋体" w:eastAsia="宋体" w:cs="宋体"/>
                <w:sz w:val="24"/>
              </w:rPr>
              <w:t>主要内容</w:t>
            </w:r>
          </w:p>
        </w:tc>
      </w:tr>
      <w:tr w14:paraId="211179F6">
        <w:tblPrEx>
          <w:tblCellMar>
            <w:top w:w="115" w:type="dxa"/>
            <w:left w:w="107" w:type="dxa"/>
            <w:bottom w:w="0" w:type="dxa"/>
            <w:right w:w="0" w:type="dxa"/>
          </w:tblCellMar>
        </w:tblPrEx>
        <w:trPr>
          <w:trHeight w:val="810" w:hRule="atLeast"/>
        </w:trPr>
        <w:tc>
          <w:tcPr>
            <w:tcW w:w="1951" w:type="dxa"/>
            <w:tcBorders>
              <w:top w:val="single" w:color="000000" w:sz="4" w:space="0"/>
              <w:left w:val="single" w:color="000000" w:sz="4" w:space="0"/>
              <w:bottom w:val="single" w:color="000000" w:sz="4" w:space="0"/>
              <w:right w:val="single" w:color="000000" w:sz="4" w:space="0"/>
            </w:tcBorders>
          </w:tcPr>
          <w:p w14:paraId="13822B29">
            <w:pPr>
              <w:spacing w:after="160" w:line="259" w:lineRule="auto"/>
              <w:ind w:right="0" w:firstLine="0"/>
            </w:pPr>
          </w:p>
        </w:tc>
        <w:tc>
          <w:tcPr>
            <w:tcW w:w="3611" w:type="dxa"/>
            <w:tcBorders>
              <w:top w:val="single" w:color="000000" w:sz="4" w:space="0"/>
              <w:left w:val="single" w:color="000000" w:sz="4" w:space="0"/>
              <w:bottom w:val="single" w:color="000000" w:sz="4" w:space="0"/>
              <w:right w:val="single" w:color="000000" w:sz="4" w:space="0"/>
            </w:tcBorders>
          </w:tcPr>
          <w:p w14:paraId="5DFB07A6">
            <w:pPr>
              <w:spacing w:after="0" w:line="259" w:lineRule="auto"/>
              <w:ind w:left="1" w:right="0" w:firstLine="0"/>
            </w:pPr>
            <w:r>
              <w:rPr>
                <w:rFonts w:ascii="宋体" w:hAnsi="宋体" w:eastAsia="宋体" w:cs="宋体"/>
                <w:sz w:val="24"/>
              </w:rPr>
              <w:t>前加计扣除归集范围有关问题的公告》（</w:t>
            </w:r>
            <w:r>
              <w:rPr>
                <w:rFonts w:ascii="Times New Roman" w:hAnsi="Times New Roman" w:eastAsia="Times New Roman" w:cs="Times New Roman"/>
                <w:sz w:val="24"/>
              </w:rPr>
              <w:t>2017</w:t>
            </w:r>
            <w:r>
              <w:rPr>
                <w:rFonts w:ascii="宋体" w:hAnsi="宋体" w:eastAsia="宋体" w:cs="宋体"/>
                <w:sz w:val="24"/>
              </w:rPr>
              <w:t>年第</w:t>
            </w:r>
            <w:r>
              <w:rPr>
                <w:rFonts w:ascii="Times New Roman" w:hAnsi="Times New Roman" w:eastAsia="Times New Roman" w:cs="Times New Roman"/>
                <w:sz w:val="24"/>
              </w:rPr>
              <w:t>40</w:t>
            </w:r>
            <w:r>
              <w:rPr>
                <w:rFonts w:ascii="宋体" w:hAnsi="宋体" w:eastAsia="宋体" w:cs="宋体"/>
                <w:sz w:val="24"/>
              </w:rPr>
              <w:t>号）</w:t>
            </w:r>
          </w:p>
        </w:tc>
        <w:tc>
          <w:tcPr>
            <w:tcW w:w="3724" w:type="dxa"/>
            <w:tcBorders>
              <w:top w:val="single" w:color="000000" w:sz="4" w:space="0"/>
              <w:left w:val="single" w:color="000000" w:sz="4" w:space="0"/>
              <w:bottom w:val="single" w:color="000000" w:sz="4" w:space="0"/>
              <w:right w:val="single" w:color="000000" w:sz="4" w:space="0"/>
            </w:tcBorders>
          </w:tcPr>
          <w:p w14:paraId="63582119">
            <w:pPr>
              <w:spacing w:after="0" w:line="259" w:lineRule="auto"/>
              <w:ind w:right="0" w:firstLine="0"/>
            </w:pPr>
            <w:r>
              <w:rPr>
                <w:rFonts w:ascii="宋体" w:hAnsi="宋体" w:eastAsia="宋体" w:cs="宋体"/>
                <w:sz w:val="24"/>
              </w:rPr>
              <w:t>用范围和归集口径。</w:t>
            </w:r>
          </w:p>
        </w:tc>
      </w:tr>
      <w:tr w14:paraId="49CAE83A">
        <w:tblPrEx>
          <w:tblCellMar>
            <w:top w:w="115" w:type="dxa"/>
            <w:left w:w="107" w:type="dxa"/>
            <w:bottom w:w="0" w:type="dxa"/>
            <w:right w:w="0" w:type="dxa"/>
          </w:tblCellMar>
        </w:tblPrEx>
        <w:trPr>
          <w:trHeight w:val="1610" w:hRule="atLeast"/>
        </w:trPr>
        <w:tc>
          <w:tcPr>
            <w:tcW w:w="1951" w:type="dxa"/>
            <w:tcBorders>
              <w:top w:val="single" w:color="000000" w:sz="4" w:space="0"/>
              <w:left w:val="single" w:color="000000" w:sz="4" w:space="0"/>
              <w:bottom w:val="single" w:color="000000" w:sz="4" w:space="0"/>
              <w:right w:val="single" w:color="000000" w:sz="4" w:space="0"/>
            </w:tcBorders>
            <w:vAlign w:val="center"/>
          </w:tcPr>
          <w:p w14:paraId="58376AD1">
            <w:pPr>
              <w:spacing w:after="0" w:line="259" w:lineRule="auto"/>
              <w:ind w:right="106" w:firstLine="0"/>
              <w:jc w:val="center"/>
            </w:pPr>
            <w:r>
              <w:rPr>
                <w:rFonts w:ascii="Times New Roman" w:hAnsi="Times New Roman" w:eastAsia="Times New Roman" w:cs="Times New Roman"/>
                <w:sz w:val="24"/>
              </w:rPr>
              <w:t>2018</w:t>
            </w:r>
            <w:r>
              <w:rPr>
                <w:rFonts w:ascii="宋体" w:hAnsi="宋体" w:eastAsia="宋体" w:cs="宋体"/>
                <w:sz w:val="24"/>
              </w:rPr>
              <w:t>年</w:t>
            </w:r>
            <w:r>
              <w:rPr>
                <w:rFonts w:ascii="Times New Roman" w:hAnsi="Times New Roman" w:eastAsia="Times New Roman" w:cs="Times New Roman"/>
                <w:sz w:val="24"/>
              </w:rPr>
              <w:t>6</w:t>
            </w:r>
            <w:r>
              <w:rPr>
                <w:rFonts w:ascii="宋体" w:hAnsi="宋体" w:eastAsia="宋体" w:cs="宋体"/>
                <w:sz w:val="24"/>
              </w:rPr>
              <w:t>月</w:t>
            </w:r>
          </w:p>
        </w:tc>
        <w:tc>
          <w:tcPr>
            <w:tcW w:w="3611" w:type="dxa"/>
            <w:tcBorders>
              <w:top w:val="single" w:color="000000" w:sz="4" w:space="0"/>
              <w:left w:val="single" w:color="000000" w:sz="4" w:space="0"/>
              <w:bottom w:val="single" w:color="000000" w:sz="4" w:space="0"/>
              <w:right w:val="single" w:color="000000" w:sz="4" w:space="0"/>
            </w:tcBorders>
          </w:tcPr>
          <w:p w14:paraId="4F25D0B3">
            <w:pPr>
              <w:spacing w:after="0" w:line="317" w:lineRule="auto"/>
              <w:ind w:left="1" w:right="0" w:firstLine="0"/>
            </w:pPr>
            <w:r>
              <w:rPr>
                <w:rFonts w:ascii="宋体" w:hAnsi="宋体" w:eastAsia="宋体" w:cs="宋体"/>
                <w:sz w:val="24"/>
              </w:rPr>
              <w:t>《财政部 税务总局 科技部关于企业委托境外研究开发费用税前加计扣除有关政策问题的通知》</w:t>
            </w:r>
          </w:p>
          <w:p w14:paraId="68BF4F4C">
            <w:pPr>
              <w:spacing w:after="0" w:line="259" w:lineRule="auto"/>
              <w:ind w:left="1" w:right="0" w:firstLine="0"/>
            </w:pPr>
            <w:r>
              <w:rPr>
                <w:rFonts w:ascii="宋体" w:hAnsi="宋体" w:eastAsia="宋体" w:cs="宋体"/>
                <w:sz w:val="24"/>
              </w:rPr>
              <w:t>（财税〔</w:t>
            </w:r>
            <w:r>
              <w:rPr>
                <w:rFonts w:ascii="Times New Roman" w:hAnsi="Times New Roman" w:eastAsia="Times New Roman" w:cs="Times New Roman"/>
                <w:sz w:val="24"/>
              </w:rPr>
              <w:t>2018</w:t>
            </w:r>
            <w:r>
              <w:rPr>
                <w:rFonts w:ascii="宋体" w:hAnsi="宋体" w:eastAsia="宋体" w:cs="宋体"/>
                <w:sz w:val="24"/>
              </w:rPr>
              <w:t>〕</w:t>
            </w:r>
            <w:r>
              <w:rPr>
                <w:rFonts w:ascii="Times New Roman" w:hAnsi="Times New Roman" w:eastAsia="Times New Roman" w:cs="Times New Roman"/>
                <w:sz w:val="24"/>
              </w:rPr>
              <w:t>64</w:t>
            </w:r>
            <w:r>
              <w:rPr>
                <w:rFonts w:ascii="宋体" w:hAnsi="宋体" w:eastAsia="宋体" w:cs="宋体"/>
                <w:sz w:val="24"/>
              </w:rPr>
              <w:t>号）</w:t>
            </w:r>
          </w:p>
        </w:tc>
        <w:tc>
          <w:tcPr>
            <w:tcW w:w="3724" w:type="dxa"/>
            <w:tcBorders>
              <w:top w:val="single" w:color="000000" w:sz="4" w:space="0"/>
              <w:left w:val="single" w:color="000000" w:sz="4" w:space="0"/>
              <w:bottom w:val="single" w:color="000000" w:sz="4" w:space="0"/>
              <w:right w:val="single" w:color="000000" w:sz="4" w:space="0"/>
            </w:tcBorders>
            <w:vAlign w:val="center"/>
          </w:tcPr>
          <w:p w14:paraId="11CD9DBA">
            <w:pPr>
              <w:spacing w:after="0" w:line="259" w:lineRule="auto"/>
              <w:ind w:right="0" w:firstLine="0"/>
              <w:jc w:val="both"/>
            </w:pPr>
            <w:r>
              <w:rPr>
                <w:rFonts w:ascii="宋体" w:hAnsi="宋体" w:eastAsia="宋体" w:cs="宋体"/>
                <w:sz w:val="24"/>
              </w:rPr>
              <w:t>允许委托境外研发费用加计扣除。</w:t>
            </w:r>
          </w:p>
        </w:tc>
      </w:tr>
      <w:tr w14:paraId="7BAA7273">
        <w:tblPrEx>
          <w:tblCellMar>
            <w:top w:w="115" w:type="dxa"/>
            <w:left w:w="107" w:type="dxa"/>
            <w:bottom w:w="0" w:type="dxa"/>
            <w:right w:w="0" w:type="dxa"/>
          </w:tblCellMar>
        </w:tblPrEx>
        <w:trPr>
          <w:trHeight w:val="1610" w:hRule="atLeast"/>
        </w:trPr>
        <w:tc>
          <w:tcPr>
            <w:tcW w:w="1951" w:type="dxa"/>
            <w:tcBorders>
              <w:top w:val="single" w:color="000000" w:sz="4" w:space="0"/>
              <w:left w:val="single" w:color="000000" w:sz="4" w:space="0"/>
              <w:bottom w:val="single" w:color="000000" w:sz="4" w:space="0"/>
              <w:right w:val="single" w:color="000000" w:sz="4" w:space="0"/>
            </w:tcBorders>
            <w:vAlign w:val="center"/>
          </w:tcPr>
          <w:p w14:paraId="0C2F3697">
            <w:pPr>
              <w:spacing w:after="0" w:line="259" w:lineRule="auto"/>
              <w:ind w:right="106" w:firstLine="0"/>
              <w:jc w:val="center"/>
            </w:pPr>
            <w:r>
              <w:rPr>
                <w:rFonts w:ascii="Times New Roman" w:hAnsi="Times New Roman" w:eastAsia="Times New Roman" w:cs="Times New Roman"/>
                <w:sz w:val="24"/>
              </w:rPr>
              <w:t>2018</w:t>
            </w:r>
            <w:r>
              <w:rPr>
                <w:rFonts w:ascii="宋体" w:hAnsi="宋体" w:eastAsia="宋体" w:cs="宋体"/>
                <w:sz w:val="24"/>
              </w:rPr>
              <w:t>年</w:t>
            </w:r>
            <w:r>
              <w:rPr>
                <w:rFonts w:ascii="Times New Roman" w:hAnsi="Times New Roman" w:eastAsia="Times New Roman" w:cs="Times New Roman"/>
                <w:sz w:val="24"/>
              </w:rPr>
              <w:t>9</w:t>
            </w:r>
            <w:r>
              <w:rPr>
                <w:rFonts w:ascii="宋体" w:hAnsi="宋体" w:eastAsia="宋体" w:cs="宋体"/>
                <w:sz w:val="24"/>
              </w:rPr>
              <w:t>月</w:t>
            </w:r>
          </w:p>
        </w:tc>
        <w:tc>
          <w:tcPr>
            <w:tcW w:w="3611" w:type="dxa"/>
            <w:tcBorders>
              <w:top w:val="single" w:color="000000" w:sz="4" w:space="0"/>
              <w:left w:val="single" w:color="000000" w:sz="4" w:space="0"/>
              <w:bottom w:val="single" w:color="000000" w:sz="4" w:space="0"/>
              <w:right w:val="single" w:color="000000" w:sz="4" w:space="0"/>
            </w:tcBorders>
          </w:tcPr>
          <w:p w14:paraId="45913335">
            <w:pPr>
              <w:spacing w:after="0" w:line="259" w:lineRule="auto"/>
              <w:ind w:left="1" w:right="0" w:firstLine="0"/>
            </w:pPr>
            <w:r>
              <w:rPr>
                <w:rFonts w:ascii="宋体" w:hAnsi="宋体" w:eastAsia="宋体" w:cs="宋体"/>
                <w:sz w:val="24"/>
              </w:rPr>
              <w:t>《财政部 税务总局 科技部关于提高研究开发费用税前加计扣除比例的通知》（财税〔</w:t>
            </w:r>
            <w:r>
              <w:rPr>
                <w:rFonts w:ascii="Times New Roman" w:hAnsi="Times New Roman" w:eastAsia="Times New Roman" w:cs="Times New Roman"/>
                <w:sz w:val="24"/>
              </w:rPr>
              <w:t>2018</w:t>
            </w:r>
            <w:r>
              <w:rPr>
                <w:rFonts w:ascii="宋体" w:hAnsi="宋体" w:eastAsia="宋体" w:cs="宋体"/>
                <w:sz w:val="24"/>
              </w:rPr>
              <w:t>〕</w:t>
            </w:r>
            <w:r>
              <w:rPr>
                <w:rFonts w:ascii="Times New Roman" w:hAnsi="Times New Roman" w:eastAsia="Times New Roman" w:cs="Times New Roman"/>
                <w:sz w:val="24"/>
              </w:rPr>
              <w:t xml:space="preserve">99 </w:t>
            </w:r>
            <w:r>
              <w:rPr>
                <w:rFonts w:ascii="宋体" w:hAnsi="宋体" w:eastAsia="宋体" w:cs="宋体"/>
                <w:sz w:val="24"/>
              </w:rPr>
              <w:t>号）</w:t>
            </w:r>
          </w:p>
        </w:tc>
        <w:tc>
          <w:tcPr>
            <w:tcW w:w="3724" w:type="dxa"/>
            <w:tcBorders>
              <w:top w:val="single" w:color="000000" w:sz="4" w:space="0"/>
              <w:left w:val="single" w:color="000000" w:sz="4" w:space="0"/>
              <w:bottom w:val="single" w:color="000000" w:sz="4" w:space="0"/>
              <w:right w:val="single" w:color="000000" w:sz="4" w:space="0"/>
            </w:tcBorders>
            <w:vAlign w:val="center"/>
          </w:tcPr>
          <w:p w14:paraId="3D2FD23D">
            <w:pPr>
              <w:spacing w:after="68" w:line="259" w:lineRule="auto"/>
              <w:ind w:right="0" w:firstLine="0"/>
              <w:jc w:val="both"/>
            </w:pPr>
            <w:r>
              <w:rPr>
                <w:rFonts w:ascii="宋体" w:hAnsi="宋体" w:eastAsia="宋体" w:cs="宋体"/>
                <w:sz w:val="24"/>
              </w:rPr>
              <w:t>将全部研发费用加计扣除比例由</w:t>
            </w:r>
          </w:p>
          <w:p w14:paraId="329889F4">
            <w:pPr>
              <w:spacing w:after="0" w:line="259" w:lineRule="auto"/>
              <w:ind w:right="0" w:firstLine="0"/>
            </w:pPr>
            <w:r>
              <w:rPr>
                <w:rFonts w:ascii="Times New Roman" w:hAnsi="Times New Roman" w:eastAsia="Times New Roman" w:cs="Times New Roman"/>
                <w:sz w:val="24"/>
              </w:rPr>
              <w:t>50%</w:t>
            </w:r>
            <w:r>
              <w:rPr>
                <w:rFonts w:ascii="宋体" w:hAnsi="宋体" w:eastAsia="宋体" w:cs="宋体"/>
                <w:sz w:val="24"/>
              </w:rPr>
              <w:t>提高到</w:t>
            </w:r>
            <w:r>
              <w:rPr>
                <w:rFonts w:ascii="Times New Roman" w:hAnsi="Times New Roman" w:eastAsia="Times New Roman" w:cs="Times New Roman"/>
                <w:sz w:val="24"/>
              </w:rPr>
              <w:t>75%</w:t>
            </w:r>
            <w:r>
              <w:rPr>
                <w:rFonts w:ascii="宋体" w:hAnsi="宋体" w:eastAsia="宋体" w:cs="宋体"/>
                <w:sz w:val="24"/>
              </w:rPr>
              <w:t>。</w:t>
            </w:r>
          </w:p>
        </w:tc>
      </w:tr>
      <w:tr w14:paraId="046E0A15">
        <w:tblPrEx>
          <w:tblCellMar>
            <w:top w:w="115" w:type="dxa"/>
            <w:left w:w="107" w:type="dxa"/>
            <w:bottom w:w="0" w:type="dxa"/>
            <w:right w:w="0" w:type="dxa"/>
          </w:tblCellMar>
        </w:tblPrEx>
        <w:trPr>
          <w:trHeight w:val="1210" w:hRule="atLeast"/>
        </w:trPr>
        <w:tc>
          <w:tcPr>
            <w:tcW w:w="1951" w:type="dxa"/>
            <w:tcBorders>
              <w:top w:val="single" w:color="000000" w:sz="4" w:space="0"/>
              <w:left w:val="single" w:color="000000" w:sz="4" w:space="0"/>
              <w:bottom w:val="single" w:color="000000" w:sz="4" w:space="0"/>
              <w:right w:val="single" w:color="000000" w:sz="4" w:space="0"/>
            </w:tcBorders>
            <w:vAlign w:val="center"/>
          </w:tcPr>
          <w:p w14:paraId="2184FF9F">
            <w:pPr>
              <w:spacing w:after="0" w:line="259" w:lineRule="auto"/>
              <w:ind w:right="106" w:firstLine="0"/>
              <w:jc w:val="center"/>
            </w:pPr>
            <w:r>
              <w:rPr>
                <w:rFonts w:ascii="Times New Roman" w:hAnsi="Times New Roman" w:eastAsia="Times New Roman" w:cs="Times New Roman"/>
                <w:sz w:val="24"/>
              </w:rPr>
              <w:t>2021</w:t>
            </w:r>
            <w:r>
              <w:rPr>
                <w:rFonts w:ascii="宋体" w:hAnsi="宋体" w:eastAsia="宋体" w:cs="宋体"/>
                <w:sz w:val="24"/>
              </w:rPr>
              <w:t>年</w:t>
            </w:r>
            <w:r>
              <w:rPr>
                <w:rFonts w:ascii="Times New Roman" w:hAnsi="Times New Roman" w:eastAsia="Times New Roman" w:cs="Times New Roman"/>
                <w:sz w:val="24"/>
              </w:rPr>
              <w:t>3</w:t>
            </w:r>
            <w:r>
              <w:rPr>
                <w:rFonts w:ascii="宋体" w:hAnsi="宋体" w:eastAsia="宋体" w:cs="宋体"/>
                <w:sz w:val="24"/>
              </w:rPr>
              <w:t>月</w:t>
            </w:r>
          </w:p>
        </w:tc>
        <w:tc>
          <w:tcPr>
            <w:tcW w:w="3611" w:type="dxa"/>
            <w:tcBorders>
              <w:top w:val="single" w:color="000000" w:sz="4" w:space="0"/>
              <w:left w:val="single" w:color="000000" w:sz="4" w:space="0"/>
              <w:bottom w:val="single" w:color="000000" w:sz="4" w:space="0"/>
              <w:right w:val="single" w:color="000000" w:sz="4" w:space="0"/>
            </w:tcBorders>
          </w:tcPr>
          <w:p w14:paraId="127CAEBA">
            <w:pPr>
              <w:spacing w:after="0" w:line="259" w:lineRule="auto"/>
              <w:ind w:left="1" w:right="0" w:firstLine="0"/>
            </w:pPr>
            <w:r>
              <w:rPr>
                <w:rFonts w:ascii="宋体" w:hAnsi="宋体" w:eastAsia="宋体" w:cs="宋体"/>
                <w:sz w:val="24"/>
              </w:rPr>
              <w:t>《财政部 税务总局关于进一步完善研发费用税前加计扣除政策的公告》（</w:t>
            </w:r>
            <w:r>
              <w:rPr>
                <w:rFonts w:ascii="Times New Roman" w:hAnsi="Times New Roman" w:eastAsia="Times New Roman" w:cs="Times New Roman"/>
                <w:sz w:val="24"/>
              </w:rPr>
              <w:t>2021</w:t>
            </w:r>
            <w:r>
              <w:rPr>
                <w:rFonts w:ascii="宋体" w:hAnsi="宋体" w:eastAsia="宋体" w:cs="宋体"/>
                <w:sz w:val="24"/>
              </w:rPr>
              <w:t>年第</w:t>
            </w:r>
            <w:r>
              <w:rPr>
                <w:rFonts w:ascii="Times New Roman" w:hAnsi="Times New Roman" w:eastAsia="Times New Roman" w:cs="Times New Roman"/>
                <w:sz w:val="24"/>
              </w:rPr>
              <w:t>13</w:t>
            </w:r>
            <w:r>
              <w:rPr>
                <w:rFonts w:ascii="宋体" w:hAnsi="宋体" w:eastAsia="宋体" w:cs="宋体"/>
                <w:sz w:val="24"/>
              </w:rPr>
              <w:t>号）</w:t>
            </w:r>
          </w:p>
        </w:tc>
        <w:tc>
          <w:tcPr>
            <w:tcW w:w="3724" w:type="dxa"/>
            <w:tcBorders>
              <w:top w:val="single" w:color="000000" w:sz="4" w:space="0"/>
              <w:left w:val="single" w:color="000000" w:sz="4" w:space="0"/>
              <w:bottom w:val="single" w:color="000000" w:sz="4" w:space="0"/>
              <w:right w:val="single" w:color="000000" w:sz="4" w:space="0"/>
            </w:tcBorders>
            <w:vAlign w:val="center"/>
          </w:tcPr>
          <w:p w14:paraId="79308138">
            <w:pPr>
              <w:spacing w:after="0" w:line="259" w:lineRule="auto"/>
              <w:ind w:right="0" w:firstLine="0"/>
            </w:pPr>
            <w:r>
              <w:rPr>
                <w:rFonts w:ascii="宋体" w:hAnsi="宋体" w:eastAsia="宋体" w:cs="宋体"/>
                <w:sz w:val="24"/>
              </w:rPr>
              <w:t>将制造业企业的研发费用加计扣除比例由</w:t>
            </w:r>
            <w:r>
              <w:rPr>
                <w:rFonts w:ascii="Times New Roman" w:hAnsi="Times New Roman" w:eastAsia="Times New Roman" w:cs="Times New Roman"/>
                <w:sz w:val="24"/>
              </w:rPr>
              <w:t>75%</w:t>
            </w:r>
            <w:r>
              <w:rPr>
                <w:rFonts w:ascii="宋体" w:hAnsi="宋体" w:eastAsia="宋体" w:cs="宋体"/>
                <w:sz w:val="24"/>
              </w:rPr>
              <w:t>提高至</w:t>
            </w:r>
            <w:r>
              <w:rPr>
                <w:rFonts w:ascii="Times New Roman" w:hAnsi="Times New Roman" w:eastAsia="Times New Roman" w:cs="Times New Roman"/>
                <w:sz w:val="24"/>
              </w:rPr>
              <w:t>100%</w:t>
            </w:r>
            <w:r>
              <w:rPr>
                <w:rFonts w:ascii="宋体" w:hAnsi="宋体" w:eastAsia="宋体" w:cs="宋体"/>
                <w:sz w:val="24"/>
              </w:rPr>
              <w:t>。</w:t>
            </w:r>
          </w:p>
        </w:tc>
      </w:tr>
      <w:tr w14:paraId="236AE536">
        <w:tblPrEx>
          <w:tblCellMar>
            <w:top w:w="115" w:type="dxa"/>
            <w:left w:w="107" w:type="dxa"/>
            <w:bottom w:w="0" w:type="dxa"/>
            <w:right w:w="0" w:type="dxa"/>
          </w:tblCellMar>
        </w:tblPrEx>
        <w:trPr>
          <w:trHeight w:val="2010" w:hRule="atLeast"/>
        </w:trPr>
        <w:tc>
          <w:tcPr>
            <w:tcW w:w="1951" w:type="dxa"/>
            <w:tcBorders>
              <w:top w:val="single" w:color="000000" w:sz="4" w:space="0"/>
              <w:left w:val="single" w:color="000000" w:sz="4" w:space="0"/>
              <w:bottom w:val="single" w:color="000000" w:sz="4" w:space="0"/>
              <w:right w:val="single" w:color="000000" w:sz="4" w:space="0"/>
            </w:tcBorders>
            <w:vAlign w:val="center"/>
          </w:tcPr>
          <w:p w14:paraId="7713D732">
            <w:pPr>
              <w:spacing w:after="0" w:line="259" w:lineRule="auto"/>
              <w:ind w:right="106" w:firstLine="0"/>
              <w:jc w:val="center"/>
            </w:pPr>
            <w:r>
              <w:rPr>
                <w:rFonts w:ascii="Times New Roman" w:hAnsi="Times New Roman" w:eastAsia="Times New Roman" w:cs="Times New Roman"/>
                <w:sz w:val="24"/>
              </w:rPr>
              <w:t>2021</w:t>
            </w:r>
            <w:r>
              <w:rPr>
                <w:rFonts w:ascii="宋体" w:hAnsi="宋体" w:eastAsia="宋体" w:cs="宋体"/>
                <w:sz w:val="24"/>
              </w:rPr>
              <w:t>年</w:t>
            </w:r>
            <w:r>
              <w:rPr>
                <w:rFonts w:ascii="Times New Roman" w:hAnsi="Times New Roman" w:eastAsia="Times New Roman" w:cs="Times New Roman"/>
                <w:sz w:val="24"/>
              </w:rPr>
              <w:t>9</w:t>
            </w:r>
            <w:r>
              <w:rPr>
                <w:rFonts w:ascii="宋体" w:hAnsi="宋体" w:eastAsia="宋体" w:cs="宋体"/>
                <w:sz w:val="24"/>
              </w:rPr>
              <w:t>月</w:t>
            </w:r>
          </w:p>
        </w:tc>
        <w:tc>
          <w:tcPr>
            <w:tcW w:w="3611" w:type="dxa"/>
            <w:tcBorders>
              <w:top w:val="single" w:color="000000" w:sz="4" w:space="0"/>
              <w:left w:val="single" w:color="000000" w:sz="4" w:space="0"/>
              <w:bottom w:val="single" w:color="000000" w:sz="4" w:space="0"/>
              <w:right w:val="single" w:color="000000" w:sz="4" w:space="0"/>
            </w:tcBorders>
            <w:vAlign w:val="center"/>
          </w:tcPr>
          <w:p w14:paraId="23909647">
            <w:pPr>
              <w:spacing w:after="0" w:line="259" w:lineRule="auto"/>
              <w:ind w:left="1" w:right="0" w:firstLine="0"/>
            </w:pPr>
            <w:r>
              <w:rPr>
                <w:rFonts w:ascii="宋体" w:hAnsi="宋体" w:eastAsia="宋体" w:cs="宋体"/>
                <w:sz w:val="24"/>
              </w:rPr>
              <w:t>《国家税务总局关于进一步落实研发费用加计扣除政策有关问题的公告》（</w:t>
            </w:r>
            <w:r>
              <w:rPr>
                <w:rFonts w:ascii="Times New Roman" w:hAnsi="Times New Roman" w:eastAsia="Times New Roman" w:cs="Times New Roman"/>
                <w:sz w:val="24"/>
              </w:rPr>
              <w:t>2021</w:t>
            </w:r>
            <w:r>
              <w:rPr>
                <w:rFonts w:ascii="宋体" w:hAnsi="宋体" w:eastAsia="宋体" w:cs="宋体"/>
                <w:sz w:val="24"/>
              </w:rPr>
              <w:t>年第</w:t>
            </w:r>
            <w:r>
              <w:rPr>
                <w:rFonts w:ascii="Times New Roman" w:hAnsi="Times New Roman" w:eastAsia="Times New Roman" w:cs="Times New Roman"/>
                <w:sz w:val="24"/>
              </w:rPr>
              <w:t>28</w:t>
            </w:r>
            <w:r>
              <w:rPr>
                <w:rFonts w:ascii="宋体" w:hAnsi="宋体" w:eastAsia="宋体" w:cs="宋体"/>
                <w:sz w:val="24"/>
              </w:rPr>
              <w:t>号）</w:t>
            </w:r>
          </w:p>
        </w:tc>
        <w:tc>
          <w:tcPr>
            <w:tcW w:w="3724" w:type="dxa"/>
            <w:tcBorders>
              <w:top w:val="single" w:color="000000" w:sz="4" w:space="0"/>
              <w:left w:val="single" w:color="000000" w:sz="4" w:space="0"/>
              <w:bottom w:val="single" w:color="000000" w:sz="4" w:space="0"/>
              <w:right w:val="single" w:color="000000" w:sz="4" w:space="0"/>
            </w:tcBorders>
          </w:tcPr>
          <w:p w14:paraId="22385D9C">
            <w:pPr>
              <w:spacing w:after="0" w:line="259" w:lineRule="auto"/>
              <w:ind w:right="0" w:firstLine="0"/>
            </w:pPr>
            <w:r>
              <w:rPr>
                <w:rFonts w:ascii="宋体" w:hAnsi="宋体" w:eastAsia="宋体" w:cs="宋体"/>
                <w:sz w:val="24"/>
              </w:rPr>
              <w:t>在</w:t>
            </w:r>
            <w:r>
              <w:rPr>
                <w:rFonts w:ascii="Times New Roman" w:hAnsi="Times New Roman" w:eastAsia="Times New Roman" w:cs="Times New Roman"/>
                <w:sz w:val="24"/>
              </w:rPr>
              <w:t>2021</w:t>
            </w:r>
            <w:r>
              <w:rPr>
                <w:rFonts w:ascii="宋体" w:hAnsi="宋体" w:eastAsia="宋体" w:cs="宋体"/>
                <w:sz w:val="24"/>
              </w:rPr>
              <w:t>年</w:t>
            </w:r>
            <w:r>
              <w:rPr>
                <w:rFonts w:ascii="Times New Roman" w:hAnsi="Times New Roman" w:eastAsia="Times New Roman" w:cs="Times New Roman"/>
                <w:sz w:val="24"/>
              </w:rPr>
              <w:t>10</w:t>
            </w:r>
            <w:r>
              <w:rPr>
                <w:rFonts w:ascii="宋体" w:hAnsi="宋体" w:eastAsia="宋体" w:cs="宋体"/>
                <w:sz w:val="24"/>
              </w:rPr>
              <w:t xml:space="preserve">月份预缴申报时，允许企业自主选择享受前三季度研发费用加计扣除，优化研发费用辅助账样式，调整 </w:t>
            </w:r>
            <w:r>
              <w:rPr>
                <w:rFonts w:ascii="Times New Roman" w:hAnsi="Times New Roman" w:eastAsia="Times New Roman" w:cs="Times New Roman"/>
                <w:sz w:val="24"/>
              </w:rPr>
              <w:t>“</w:t>
            </w:r>
            <w:r>
              <w:rPr>
                <w:rFonts w:ascii="宋体" w:hAnsi="宋体" w:eastAsia="宋体" w:cs="宋体"/>
                <w:sz w:val="24"/>
              </w:rPr>
              <w:t>其他相关费用</w:t>
            </w:r>
            <w:r>
              <w:rPr>
                <w:rFonts w:ascii="Times New Roman" w:hAnsi="Times New Roman" w:eastAsia="Times New Roman" w:cs="Times New Roman"/>
                <w:sz w:val="24"/>
              </w:rPr>
              <w:t xml:space="preserve">” </w:t>
            </w:r>
            <w:r>
              <w:rPr>
                <w:rFonts w:ascii="宋体" w:hAnsi="宋体" w:eastAsia="宋体" w:cs="宋体"/>
                <w:sz w:val="24"/>
              </w:rPr>
              <w:t>限额的计算方法。</w:t>
            </w:r>
          </w:p>
        </w:tc>
      </w:tr>
      <w:tr w14:paraId="20A4305B">
        <w:tblPrEx>
          <w:tblCellMar>
            <w:top w:w="115" w:type="dxa"/>
            <w:left w:w="107" w:type="dxa"/>
            <w:bottom w:w="0" w:type="dxa"/>
            <w:right w:w="0" w:type="dxa"/>
          </w:tblCellMar>
        </w:tblPrEx>
        <w:trPr>
          <w:trHeight w:val="1610" w:hRule="atLeast"/>
        </w:trPr>
        <w:tc>
          <w:tcPr>
            <w:tcW w:w="1951" w:type="dxa"/>
            <w:tcBorders>
              <w:top w:val="single" w:color="000000" w:sz="4" w:space="0"/>
              <w:left w:val="single" w:color="000000" w:sz="4" w:space="0"/>
              <w:bottom w:val="single" w:color="000000" w:sz="4" w:space="0"/>
              <w:right w:val="single" w:color="000000" w:sz="4" w:space="0"/>
            </w:tcBorders>
            <w:vAlign w:val="center"/>
          </w:tcPr>
          <w:p w14:paraId="5A2C00C9">
            <w:pPr>
              <w:spacing w:after="0" w:line="259" w:lineRule="auto"/>
              <w:ind w:right="106" w:firstLine="0"/>
              <w:jc w:val="center"/>
            </w:pPr>
            <w:r>
              <w:rPr>
                <w:rFonts w:ascii="Times New Roman" w:hAnsi="Times New Roman" w:eastAsia="Times New Roman" w:cs="Times New Roman"/>
                <w:sz w:val="24"/>
              </w:rPr>
              <w:t>2022</w:t>
            </w:r>
            <w:r>
              <w:rPr>
                <w:rFonts w:ascii="宋体" w:hAnsi="宋体" w:eastAsia="宋体" w:cs="宋体"/>
                <w:sz w:val="24"/>
              </w:rPr>
              <w:t>年</w:t>
            </w:r>
            <w:r>
              <w:rPr>
                <w:rFonts w:ascii="Times New Roman" w:hAnsi="Times New Roman" w:eastAsia="Times New Roman" w:cs="Times New Roman"/>
                <w:sz w:val="24"/>
              </w:rPr>
              <w:t>3</w:t>
            </w:r>
            <w:r>
              <w:rPr>
                <w:rFonts w:ascii="宋体" w:hAnsi="宋体" w:eastAsia="宋体" w:cs="宋体"/>
                <w:sz w:val="24"/>
              </w:rPr>
              <w:t>月</w:t>
            </w:r>
          </w:p>
        </w:tc>
        <w:tc>
          <w:tcPr>
            <w:tcW w:w="3611" w:type="dxa"/>
            <w:tcBorders>
              <w:top w:val="single" w:color="000000" w:sz="4" w:space="0"/>
              <w:left w:val="single" w:color="000000" w:sz="4" w:space="0"/>
              <w:bottom w:val="single" w:color="000000" w:sz="4" w:space="0"/>
              <w:right w:val="single" w:color="000000" w:sz="4" w:space="0"/>
            </w:tcBorders>
          </w:tcPr>
          <w:p w14:paraId="006026DB">
            <w:pPr>
              <w:spacing w:after="0" w:line="317" w:lineRule="auto"/>
              <w:ind w:left="1" w:right="0" w:firstLine="0"/>
            </w:pPr>
            <w:r>
              <w:rPr>
                <w:rFonts w:ascii="宋体" w:hAnsi="宋体" w:eastAsia="宋体" w:cs="宋体"/>
                <w:sz w:val="24"/>
              </w:rPr>
              <w:t>《财政部 税务总局 科技部关于进一步提高科技型中小企业研发费用税前加计扣除比例的公告》</w:t>
            </w:r>
          </w:p>
          <w:p w14:paraId="41ED2C4C">
            <w:pPr>
              <w:spacing w:after="0" w:line="259" w:lineRule="auto"/>
              <w:ind w:left="1" w:right="0" w:firstLine="0"/>
            </w:pPr>
            <w:r>
              <w:rPr>
                <w:rFonts w:ascii="宋体" w:hAnsi="宋体" w:eastAsia="宋体" w:cs="宋体"/>
                <w:sz w:val="24"/>
              </w:rPr>
              <w:t>（</w:t>
            </w:r>
            <w:r>
              <w:rPr>
                <w:rFonts w:ascii="Times New Roman" w:hAnsi="Times New Roman" w:eastAsia="Times New Roman" w:cs="Times New Roman"/>
                <w:sz w:val="24"/>
              </w:rPr>
              <w:t>2022</w:t>
            </w:r>
            <w:r>
              <w:rPr>
                <w:rFonts w:ascii="宋体" w:hAnsi="宋体" w:eastAsia="宋体" w:cs="宋体"/>
                <w:sz w:val="24"/>
              </w:rPr>
              <w:t>年第</w:t>
            </w:r>
            <w:r>
              <w:rPr>
                <w:rFonts w:ascii="Times New Roman" w:hAnsi="Times New Roman" w:eastAsia="Times New Roman" w:cs="Times New Roman"/>
                <w:sz w:val="24"/>
              </w:rPr>
              <w:t>16</w:t>
            </w:r>
            <w:r>
              <w:rPr>
                <w:rFonts w:ascii="宋体" w:hAnsi="宋体" w:eastAsia="宋体" w:cs="宋体"/>
                <w:sz w:val="24"/>
              </w:rPr>
              <w:t>号）</w:t>
            </w:r>
          </w:p>
        </w:tc>
        <w:tc>
          <w:tcPr>
            <w:tcW w:w="3724" w:type="dxa"/>
            <w:tcBorders>
              <w:top w:val="single" w:color="000000" w:sz="4" w:space="0"/>
              <w:left w:val="single" w:color="000000" w:sz="4" w:space="0"/>
              <w:bottom w:val="single" w:color="000000" w:sz="4" w:space="0"/>
              <w:right w:val="single" w:color="000000" w:sz="4" w:space="0"/>
            </w:tcBorders>
            <w:vAlign w:val="center"/>
          </w:tcPr>
          <w:p w14:paraId="0879BA9A">
            <w:pPr>
              <w:spacing w:after="0" w:line="259" w:lineRule="auto"/>
              <w:ind w:right="0" w:firstLine="0"/>
              <w:jc w:val="both"/>
            </w:pPr>
            <w:r>
              <w:rPr>
                <w:rFonts w:ascii="宋体" w:hAnsi="宋体" w:eastAsia="宋体" w:cs="宋体"/>
                <w:sz w:val="24"/>
              </w:rPr>
              <w:t>将科技型中小企业的研发费用加计扣除比例由</w:t>
            </w:r>
            <w:r>
              <w:rPr>
                <w:rFonts w:ascii="Times New Roman" w:hAnsi="Times New Roman" w:eastAsia="Times New Roman" w:cs="Times New Roman"/>
                <w:sz w:val="24"/>
              </w:rPr>
              <w:t>75%</w:t>
            </w:r>
            <w:r>
              <w:rPr>
                <w:rFonts w:ascii="宋体" w:hAnsi="宋体" w:eastAsia="宋体" w:cs="宋体"/>
                <w:sz w:val="24"/>
              </w:rPr>
              <w:t>提高至</w:t>
            </w:r>
            <w:r>
              <w:rPr>
                <w:rFonts w:ascii="Times New Roman" w:hAnsi="Times New Roman" w:eastAsia="Times New Roman" w:cs="Times New Roman"/>
                <w:sz w:val="24"/>
              </w:rPr>
              <w:t>100%</w:t>
            </w:r>
            <w:r>
              <w:rPr>
                <w:rFonts w:ascii="宋体" w:hAnsi="宋体" w:eastAsia="宋体" w:cs="宋体"/>
                <w:sz w:val="24"/>
              </w:rPr>
              <w:t>。</w:t>
            </w:r>
          </w:p>
        </w:tc>
      </w:tr>
      <w:tr w14:paraId="5BB649AF">
        <w:tblPrEx>
          <w:tblCellMar>
            <w:top w:w="115" w:type="dxa"/>
            <w:left w:w="107" w:type="dxa"/>
            <w:bottom w:w="0" w:type="dxa"/>
            <w:right w:w="0" w:type="dxa"/>
          </w:tblCellMar>
        </w:tblPrEx>
        <w:trPr>
          <w:trHeight w:val="1610" w:hRule="atLeast"/>
        </w:trPr>
        <w:tc>
          <w:tcPr>
            <w:tcW w:w="1951" w:type="dxa"/>
            <w:tcBorders>
              <w:top w:val="single" w:color="000000" w:sz="4" w:space="0"/>
              <w:left w:val="single" w:color="000000" w:sz="4" w:space="0"/>
              <w:bottom w:val="single" w:color="000000" w:sz="4" w:space="0"/>
              <w:right w:val="single" w:color="000000" w:sz="4" w:space="0"/>
            </w:tcBorders>
            <w:vAlign w:val="center"/>
          </w:tcPr>
          <w:p w14:paraId="7C27ECB3">
            <w:pPr>
              <w:spacing w:after="0" w:line="259" w:lineRule="auto"/>
              <w:ind w:right="106" w:firstLine="0"/>
              <w:jc w:val="center"/>
            </w:pPr>
            <w:r>
              <w:rPr>
                <w:rFonts w:ascii="Times New Roman" w:hAnsi="Times New Roman" w:eastAsia="Times New Roman" w:cs="Times New Roman"/>
                <w:sz w:val="24"/>
              </w:rPr>
              <w:t>2022</w:t>
            </w:r>
            <w:r>
              <w:rPr>
                <w:rFonts w:ascii="宋体" w:hAnsi="宋体" w:eastAsia="宋体" w:cs="宋体"/>
                <w:sz w:val="24"/>
              </w:rPr>
              <w:t>年</w:t>
            </w:r>
            <w:r>
              <w:rPr>
                <w:rFonts w:ascii="Times New Roman" w:hAnsi="Times New Roman" w:eastAsia="Times New Roman" w:cs="Times New Roman"/>
                <w:sz w:val="24"/>
              </w:rPr>
              <w:t>5</w:t>
            </w:r>
            <w:r>
              <w:rPr>
                <w:rFonts w:ascii="宋体" w:hAnsi="宋体" w:eastAsia="宋体" w:cs="宋体"/>
                <w:sz w:val="24"/>
              </w:rPr>
              <w:t>月</w:t>
            </w:r>
          </w:p>
        </w:tc>
        <w:tc>
          <w:tcPr>
            <w:tcW w:w="3611" w:type="dxa"/>
            <w:tcBorders>
              <w:top w:val="single" w:color="000000" w:sz="4" w:space="0"/>
              <w:left w:val="single" w:color="000000" w:sz="4" w:space="0"/>
              <w:bottom w:val="single" w:color="000000" w:sz="4" w:space="0"/>
              <w:right w:val="single" w:color="000000" w:sz="4" w:space="0"/>
            </w:tcBorders>
          </w:tcPr>
          <w:p w14:paraId="1FCE408A">
            <w:pPr>
              <w:spacing w:after="19" w:line="310" w:lineRule="auto"/>
              <w:ind w:left="1" w:right="0" w:firstLine="0"/>
            </w:pPr>
            <w:r>
              <w:rPr>
                <w:rFonts w:ascii="宋体" w:hAnsi="宋体" w:eastAsia="宋体" w:cs="宋体"/>
                <w:sz w:val="24"/>
              </w:rPr>
              <w:t>《国家税务总局关于企业预缴申报享受研发费用加计扣除优惠政策有关事项的公告》（</w:t>
            </w:r>
            <w:r>
              <w:rPr>
                <w:rFonts w:ascii="Times New Roman" w:hAnsi="Times New Roman" w:eastAsia="Times New Roman" w:cs="Times New Roman"/>
                <w:sz w:val="24"/>
              </w:rPr>
              <w:t>2022</w:t>
            </w:r>
            <w:r>
              <w:rPr>
                <w:rFonts w:ascii="宋体" w:hAnsi="宋体" w:eastAsia="宋体" w:cs="宋体"/>
                <w:sz w:val="24"/>
              </w:rPr>
              <w:t>年第</w:t>
            </w:r>
          </w:p>
          <w:p w14:paraId="03ABBFCA">
            <w:pPr>
              <w:spacing w:after="0" w:line="259" w:lineRule="auto"/>
              <w:ind w:left="1" w:right="0" w:firstLine="0"/>
            </w:pPr>
            <w:r>
              <w:rPr>
                <w:rFonts w:ascii="Times New Roman" w:hAnsi="Times New Roman" w:eastAsia="Times New Roman" w:cs="Times New Roman"/>
                <w:sz w:val="24"/>
              </w:rPr>
              <w:t>10</w:t>
            </w:r>
            <w:r>
              <w:rPr>
                <w:rFonts w:ascii="宋体" w:hAnsi="宋体" w:eastAsia="宋体" w:cs="宋体"/>
                <w:sz w:val="24"/>
              </w:rPr>
              <w:t>号）</w:t>
            </w:r>
          </w:p>
        </w:tc>
        <w:tc>
          <w:tcPr>
            <w:tcW w:w="3724" w:type="dxa"/>
            <w:tcBorders>
              <w:top w:val="single" w:color="000000" w:sz="4" w:space="0"/>
              <w:left w:val="single" w:color="000000" w:sz="4" w:space="0"/>
              <w:bottom w:val="single" w:color="000000" w:sz="4" w:space="0"/>
              <w:right w:val="single" w:color="000000" w:sz="4" w:space="0"/>
            </w:tcBorders>
            <w:vAlign w:val="center"/>
          </w:tcPr>
          <w:p w14:paraId="4D3865A1">
            <w:pPr>
              <w:spacing w:after="0" w:line="259" w:lineRule="auto"/>
              <w:ind w:right="0" w:firstLine="0"/>
            </w:pPr>
            <w:r>
              <w:rPr>
                <w:rFonts w:ascii="宋体" w:hAnsi="宋体" w:eastAsia="宋体" w:cs="宋体"/>
                <w:sz w:val="24"/>
              </w:rPr>
              <w:t>将企业</w:t>
            </w:r>
            <w:r>
              <w:rPr>
                <w:rFonts w:ascii="Times New Roman" w:hAnsi="Times New Roman" w:eastAsia="Times New Roman" w:cs="Times New Roman"/>
                <w:sz w:val="24"/>
              </w:rPr>
              <w:t>10</w:t>
            </w:r>
            <w:r>
              <w:rPr>
                <w:rFonts w:ascii="宋体" w:hAnsi="宋体" w:eastAsia="宋体" w:cs="宋体"/>
                <w:sz w:val="24"/>
              </w:rPr>
              <w:t>月份预缴申报享受研发费用加计扣除政策的举措予以长期化、制度化。</w:t>
            </w:r>
          </w:p>
        </w:tc>
      </w:tr>
      <w:tr w14:paraId="1648E197">
        <w:tblPrEx>
          <w:tblCellMar>
            <w:top w:w="115" w:type="dxa"/>
            <w:left w:w="107" w:type="dxa"/>
            <w:bottom w:w="0" w:type="dxa"/>
            <w:right w:w="0" w:type="dxa"/>
          </w:tblCellMar>
        </w:tblPrEx>
        <w:trPr>
          <w:trHeight w:val="1608" w:hRule="atLeast"/>
        </w:trPr>
        <w:tc>
          <w:tcPr>
            <w:tcW w:w="1951" w:type="dxa"/>
            <w:tcBorders>
              <w:top w:val="single" w:color="000000" w:sz="4" w:space="0"/>
              <w:left w:val="single" w:color="000000" w:sz="4" w:space="0"/>
              <w:bottom w:val="single" w:color="000000" w:sz="4" w:space="0"/>
              <w:right w:val="single" w:color="000000" w:sz="4" w:space="0"/>
            </w:tcBorders>
            <w:vAlign w:val="center"/>
          </w:tcPr>
          <w:p w14:paraId="54D0B883">
            <w:pPr>
              <w:spacing w:after="0" w:line="259" w:lineRule="auto"/>
              <w:ind w:right="106" w:firstLine="0"/>
              <w:jc w:val="center"/>
            </w:pPr>
            <w:r>
              <w:rPr>
                <w:rFonts w:ascii="Times New Roman" w:hAnsi="Times New Roman" w:eastAsia="Times New Roman" w:cs="Times New Roman"/>
                <w:sz w:val="24"/>
              </w:rPr>
              <w:t>2022</w:t>
            </w:r>
            <w:r>
              <w:rPr>
                <w:rFonts w:ascii="宋体" w:hAnsi="宋体" w:eastAsia="宋体" w:cs="宋体"/>
                <w:sz w:val="24"/>
              </w:rPr>
              <w:t>年</w:t>
            </w:r>
            <w:r>
              <w:rPr>
                <w:rFonts w:ascii="Times New Roman" w:hAnsi="Times New Roman" w:eastAsia="Times New Roman" w:cs="Times New Roman"/>
                <w:sz w:val="24"/>
              </w:rPr>
              <w:t>9</w:t>
            </w:r>
            <w:r>
              <w:rPr>
                <w:rFonts w:ascii="宋体" w:hAnsi="宋体" w:eastAsia="宋体" w:cs="宋体"/>
                <w:sz w:val="24"/>
              </w:rPr>
              <w:t>月</w:t>
            </w:r>
          </w:p>
        </w:tc>
        <w:tc>
          <w:tcPr>
            <w:tcW w:w="3611" w:type="dxa"/>
            <w:tcBorders>
              <w:top w:val="single" w:color="000000" w:sz="4" w:space="0"/>
              <w:left w:val="single" w:color="000000" w:sz="4" w:space="0"/>
              <w:bottom w:val="single" w:color="000000" w:sz="4" w:space="0"/>
              <w:right w:val="single" w:color="000000" w:sz="4" w:space="0"/>
            </w:tcBorders>
            <w:vAlign w:val="center"/>
          </w:tcPr>
          <w:p w14:paraId="3B26D5B0">
            <w:pPr>
              <w:spacing w:after="0" w:line="259" w:lineRule="auto"/>
              <w:ind w:left="1" w:right="0" w:firstLine="0"/>
            </w:pPr>
            <w:r>
              <w:rPr>
                <w:rFonts w:ascii="宋体" w:hAnsi="宋体" w:eastAsia="宋体" w:cs="宋体"/>
                <w:sz w:val="24"/>
              </w:rPr>
              <w:t>《财政部 税务总局 科技部关于加大支持科技创新税前扣除力度的公告》（</w:t>
            </w:r>
            <w:r>
              <w:rPr>
                <w:rFonts w:ascii="Times New Roman" w:hAnsi="Times New Roman" w:eastAsia="Times New Roman" w:cs="Times New Roman"/>
                <w:sz w:val="24"/>
              </w:rPr>
              <w:t>2022</w:t>
            </w:r>
            <w:r>
              <w:rPr>
                <w:rFonts w:ascii="宋体" w:hAnsi="宋体" w:eastAsia="宋体" w:cs="宋体"/>
                <w:sz w:val="24"/>
              </w:rPr>
              <w:t>年第</w:t>
            </w:r>
            <w:r>
              <w:rPr>
                <w:rFonts w:ascii="Times New Roman" w:hAnsi="Times New Roman" w:eastAsia="Times New Roman" w:cs="Times New Roman"/>
                <w:sz w:val="24"/>
              </w:rPr>
              <w:t>28</w:t>
            </w:r>
            <w:r>
              <w:rPr>
                <w:rFonts w:ascii="宋体" w:hAnsi="宋体" w:eastAsia="宋体" w:cs="宋体"/>
                <w:sz w:val="24"/>
              </w:rPr>
              <w:t>号）</w:t>
            </w:r>
          </w:p>
        </w:tc>
        <w:tc>
          <w:tcPr>
            <w:tcW w:w="3724" w:type="dxa"/>
            <w:tcBorders>
              <w:top w:val="single" w:color="000000" w:sz="4" w:space="0"/>
              <w:left w:val="single" w:color="000000" w:sz="4" w:space="0"/>
              <w:bottom w:val="single" w:color="000000" w:sz="4" w:space="0"/>
              <w:right w:val="single" w:color="000000" w:sz="4" w:space="0"/>
            </w:tcBorders>
          </w:tcPr>
          <w:p w14:paraId="3D1136F1">
            <w:pPr>
              <w:spacing w:after="17" w:line="312" w:lineRule="auto"/>
              <w:ind w:right="0" w:firstLine="0"/>
              <w:jc w:val="both"/>
            </w:pPr>
            <w:r>
              <w:rPr>
                <w:rFonts w:ascii="宋体" w:hAnsi="宋体" w:eastAsia="宋体" w:cs="宋体"/>
                <w:sz w:val="24"/>
              </w:rPr>
              <w:t xml:space="preserve">现行适用研发费用税前加计扣除比例 </w:t>
            </w:r>
            <w:r>
              <w:rPr>
                <w:rFonts w:ascii="Times New Roman" w:hAnsi="Times New Roman" w:eastAsia="Times New Roman" w:cs="Times New Roman"/>
                <w:sz w:val="24"/>
              </w:rPr>
              <w:t>75%</w:t>
            </w:r>
            <w:r>
              <w:rPr>
                <w:rFonts w:ascii="宋体" w:hAnsi="宋体" w:eastAsia="宋体" w:cs="宋体"/>
                <w:sz w:val="24"/>
              </w:rPr>
              <w:t xml:space="preserve">的企业，在 </w:t>
            </w:r>
            <w:r>
              <w:rPr>
                <w:rFonts w:ascii="Times New Roman" w:hAnsi="Times New Roman" w:eastAsia="Times New Roman" w:cs="Times New Roman"/>
                <w:sz w:val="24"/>
              </w:rPr>
              <w:t xml:space="preserve">2022 </w:t>
            </w:r>
            <w:r>
              <w:rPr>
                <w:rFonts w:ascii="宋体" w:hAnsi="宋体" w:eastAsia="宋体" w:cs="宋体"/>
                <w:sz w:val="24"/>
              </w:rPr>
              <w:t xml:space="preserve">年 </w:t>
            </w:r>
            <w:r>
              <w:rPr>
                <w:rFonts w:ascii="Times New Roman" w:hAnsi="Times New Roman" w:eastAsia="Times New Roman" w:cs="Times New Roman"/>
                <w:sz w:val="24"/>
              </w:rPr>
              <w:t>10</w:t>
            </w:r>
          </w:p>
          <w:p w14:paraId="3A6EEB57">
            <w:pPr>
              <w:spacing w:after="0" w:line="259" w:lineRule="auto"/>
              <w:ind w:right="-14" w:firstLine="0"/>
            </w:pPr>
            <w:r>
              <w:rPr>
                <w:rFonts w:ascii="宋体" w:hAnsi="宋体" w:eastAsia="宋体" w:cs="宋体"/>
                <w:sz w:val="24"/>
              </w:rPr>
              <w:t>月</w:t>
            </w:r>
            <w:r>
              <w:rPr>
                <w:rFonts w:ascii="Times New Roman" w:hAnsi="Times New Roman" w:eastAsia="Times New Roman" w:cs="Times New Roman"/>
                <w:sz w:val="24"/>
              </w:rPr>
              <w:t>1</w:t>
            </w:r>
            <w:r>
              <w:rPr>
                <w:rFonts w:ascii="宋体" w:hAnsi="宋体" w:eastAsia="宋体" w:cs="宋体"/>
                <w:sz w:val="24"/>
              </w:rPr>
              <w:t>日至</w:t>
            </w:r>
            <w:r>
              <w:rPr>
                <w:rFonts w:ascii="Times New Roman" w:hAnsi="Times New Roman" w:eastAsia="Times New Roman" w:cs="Times New Roman"/>
                <w:sz w:val="24"/>
              </w:rPr>
              <w:t>2022</w:t>
            </w:r>
            <w:r>
              <w:rPr>
                <w:rFonts w:ascii="宋体" w:hAnsi="宋体" w:eastAsia="宋体" w:cs="宋体"/>
                <w:sz w:val="24"/>
              </w:rPr>
              <w:t>年</w:t>
            </w:r>
            <w:r>
              <w:rPr>
                <w:rFonts w:ascii="Times New Roman" w:hAnsi="Times New Roman" w:eastAsia="Times New Roman" w:cs="Times New Roman"/>
                <w:sz w:val="24"/>
              </w:rPr>
              <w:t>12</w:t>
            </w:r>
            <w:r>
              <w:rPr>
                <w:rFonts w:ascii="宋体" w:hAnsi="宋体" w:eastAsia="宋体" w:cs="宋体"/>
                <w:sz w:val="24"/>
              </w:rPr>
              <w:t>月</w:t>
            </w:r>
            <w:r>
              <w:rPr>
                <w:rFonts w:ascii="Times New Roman" w:hAnsi="Times New Roman" w:eastAsia="Times New Roman" w:cs="Times New Roman"/>
                <w:sz w:val="24"/>
              </w:rPr>
              <w:t>31</w:t>
            </w:r>
            <w:r>
              <w:rPr>
                <w:rFonts w:ascii="宋体" w:hAnsi="宋体" w:eastAsia="宋体" w:cs="宋体"/>
                <w:sz w:val="24"/>
              </w:rPr>
              <w:t>日期间，研发费用税前加计扣除比例提高</w:t>
            </w:r>
          </w:p>
        </w:tc>
      </w:tr>
      <w:tr w14:paraId="6D440076">
        <w:tblPrEx>
          <w:tblCellMar>
            <w:top w:w="115" w:type="dxa"/>
            <w:left w:w="107" w:type="dxa"/>
            <w:bottom w:w="0" w:type="dxa"/>
            <w:right w:w="0" w:type="dxa"/>
          </w:tblCellMar>
        </w:tblPrEx>
        <w:trPr>
          <w:trHeight w:val="410" w:hRule="atLeast"/>
        </w:trPr>
        <w:tc>
          <w:tcPr>
            <w:tcW w:w="1951" w:type="dxa"/>
            <w:tcBorders>
              <w:top w:val="single" w:color="000000" w:sz="4" w:space="0"/>
              <w:left w:val="single" w:color="000000" w:sz="4" w:space="0"/>
              <w:bottom w:val="single" w:color="000000" w:sz="4" w:space="0"/>
              <w:right w:val="single" w:color="000000" w:sz="4" w:space="0"/>
            </w:tcBorders>
          </w:tcPr>
          <w:p w14:paraId="29139E76">
            <w:pPr>
              <w:spacing w:after="0" w:line="259" w:lineRule="auto"/>
              <w:ind w:right="1" w:firstLine="0"/>
              <w:jc w:val="center"/>
            </w:pPr>
            <w:r>
              <w:rPr>
                <w:rFonts w:ascii="宋体" w:hAnsi="宋体" w:eastAsia="宋体" w:cs="宋体"/>
                <w:sz w:val="24"/>
              </w:rPr>
              <w:t>时间</w:t>
            </w:r>
          </w:p>
        </w:tc>
        <w:tc>
          <w:tcPr>
            <w:tcW w:w="3611" w:type="dxa"/>
            <w:tcBorders>
              <w:top w:val="single" w:color="000000" w:sz="4" w:space="0"/>
              <w:left w:val="single" w:color="000000" w:sz="4" w:space="0"/>
              <w:bottom w:val="single" w:color="000000" w:sz="4" w:space="0"/>
              <w:right w:val="single" w:color="000000" w:sz="4" w:space="0"/>
            </w:tcBorders>
          </w:tcPr>
          <w:p w14:paraId="5A7DD998">
            <w:pPr>
              <w:spacing w:after="0" w:line="259" w:lineRule="auto"/>
              <w:ind w:left="1" w:right="0" w:firstLine="0"/>
              <w:jc w:val="center"/>
            </w:pPr>
            <w:r>
              <w:rPr>
                <w:rFonts w:ascii="宋体" w:hAnsi="宋体" w:eastAsia="宋体" w:cs="宋体"/>
                <w:sz w:val="24"/>
              </w:rPr>
              <w:t>政策</w:t>
            </w:r>
          </w:p>
        </w:tc>
        <w:tc>
          <w:tcPr>
            <w:tcW w:w="3724" w:type="dxa"/>
            <w:tcBorders>
              <w:top w:val="single" w:color="000000" w:sz="4" w:space="0"/>
              <w:left w:val="single" w:color="000000" w:sz="4" w:space="0"/>
              <w:bottom w:val="single" w:color="000000" w:sz="4" w:space="0"/>
              <w:right w:val="single" w:color="000000" w:sz="4" w:space="0"/>
            </w:tcBorders>
          </w:tcPr>
          <w:p w14:paraId="65FBA6EB">
            <w:pPr>
              <w:spacing w:after="0" w:line="259" w:lineRule="auto"/>
              <w:ind w:left="2" w:right="0" w:firstLine="0"/>
              <w:jc w:val="center"/>
            </w:pPr>
            <w:r>
              <w:rPr>
                <w:rFonts w:ascii="宋体" w:hAnsi="宋体" w:eastAsia="宋体" w:cs="宋体"/>
                <w:sz w:val="24"/>
              </w:rPr>
              <w:t>主要内容</w:t>
            </w:r>
          </w:p>
        </w:tc>
      </w:tr>
      <w:tr w14:paraId="1ED11748">
        <w:tblPrEx>
          <w:tblCellMar>
            <w:top w:w="115" w:type="dxa"/>
            <w:left w:w="107" w:type="dxa"/>
            <w:bottom w:w="0" w:type="dxa"/>
            <w:right w:w="0" w:type="dxa"/>
          </w:tblCellMar>
        </w:tblPrEx>
        <w:trPr>
          <w:trHeight w:val="410" w:hRule="atLeast"/>
        </w:trPr>
        <w:tc>
          <w:tcPr>
            <w:tcW w:w="1951" w:type="dxa"/>
            <w:tcBorders>
              <w:top w:val="single" w:color="000000" w:sz="4" w:space="0"/>
              <w:left w:val="single" w:color="000000" w:sz="4" w:space="0"/>
              <w:bottom w:val="single" w:color="000000" w:sz="4" w:space="0"/>
              <w:right w:val="single" w:color="000000" w:sz="4" w:space="0"/>
            </w:tcBorders>
          </w:tcPr>
          <w:p w14:paraId="47FAEFBE">
            <w:pPr>
              <w:spacing w:after="160" w:line="259" w:lineRule="auto"/>
              <w:ind w:right="0" w:firstLine="0"/>
            </w:pPr>
          </w:p>
        </w:tc>
        <w:tc>
          <w:tcPr>
            <w:tcW w:w="3611" w:type="dxa"/>
            <w:tcBorders>
              <w:top w:val="single" w:color="000000" w:sz="4" w:space="0"/>
              <w:left w:val="single" w:color="000000" w:sz="4" w:space="0"/>
              <w:bottom w:val="single" w:color="000000" w:sz="4" w:space="0"/>
              <w:right w:val="single" w:color="000000" w:sz="4" w:space="0"/>
            </w:tcBorders>
          </w:tcPr>
          <w:p w14:paraId="3E5DF738">
            <w:pPr>
              <w:spacing w:after="160" w:line="259" w:lineRule="auto"/>
              <w:ind w:right="0" w:firstLine="0"/>
            </w:pPr>
          </w:p>
        </w:tc>
        <w:tc>
          <w:tcPr>
            <w:tcW w:w="3724" w:type="dxa"/>
            <w:tcBorders>
              <w:top w:val="single" w:color="000000" w:sz="4" w:space="0"/>
              <w:left w:val="single" w:color="000000" w:sz="4" w:space="0"/>
              <w:bottom w:val="single" w:color="000000" w:sz="4" w:space="0"/>
              <w:right w:val="single" w:color="000000" w:sz="4" w:space="0"/>
            </w:tcBorders>
          </w:tcPr>
          <w:p w14:paraId="7A96993D">
            <w:pPr>
              <w:spacing w:after="0" w:line="259" w:lineRule="auto"/>
              <w:ind w:right="0" w:firstLine="0"/>
            </w:pPr>
            <w:r>
              <w:rPr>
                <w:rFonts w:ascii="宋体" w:hAnsi="宋体" w:eastAsia="宋体" w:cs="宋体"/>
                <w:sz w:val="24"/>
              </w:rPr>
              <w:t>至</w:t>
            </w:r>
            <w:r>
              <w:rPr>
                <w:rFonts w:ascii="Times New Roman" w:hAnsi="Times New Roman" w:eastAsia="Times New Roman" w:cs="Times New Roman"/>
                <w:sz w:val="24"/>
              </w:rPr>
              <w:t>100%</w:t>
            </w:r>
            <w:r>
              <w:rPr>
                <w:rFonts w:ascii="宋体" w:hAnsi="宋体" w:eastAsia="宋体" w:cs="宋体"/>
                <w:sz w:val="24"/>
              </w:rPr>
              <w:t>。</w:t>
            </w:r>
          </w:p>
        </w:tc>
      </w:tr>
      <w:tr w14:paraId="72D67002">
        <w:tblPrEx>
          <w:tblCellMar>
            <w:top w:w="115" w:type="dxa"/>
            <w:left w:w="107" w:type="dxa"/>
            <w:bottom w:w="0" w:type="dxa"/>
            <w:right w:w="0" w:type="dxa"/>
          </w:tblCellMar>
        </w:tblPrEx>
        <w:trPr>
          <w:trHeight w:val="1610" w:hRule="atLeast"/>
        </w:trPr>
        <w:tc>
          <w:tcPr>
            <w:tcW w:w="1951" w:type="dxa"/>
            <w:tcBorders>
              <w:top w:val="single" w:color="000000" w:sz="4" w:space="0"/>
              <w:left w:val="single" w:color="000000" w:sz="4" w:space="0"/>
              <w:bottom w:val="single" w:color="000000" w:sz="4" w:space="0"/>
              <w:right w:val="single" w:color="000000" w:sz="4" w:space="0"/>
            </w:tcBorders>
            <w:vAlign w:val="center"/>
          </w:tcPr>
          <w:p w14:paraId="48D6A464">
            <w:pPr>
              <w:spacing w:after="0" w:line="259" w:lineRule="auto"/>
              <w:ind w:left="2" w:right="0" w:firstLine="0"/>
              <w:jc w:val="center"/>
            </w:pPr>
            <w:r>
              <w:rPr>
                <w:rFonts w:ascii="Times New Roman" w:hAnsi="Times New Roman" w:eastAsia="Times New Roman" w:cs="Times New Roman"/>
                <w:sz w:val="24"/>
              </w:rPr>
              <w:t>2023</w:t>
            </w:r>
            <w:r>
              <w:rPr>
                <w:rFonts w:ascii="宋体" w:hAnsi="宋体" w:eastAsia="宋体" w:cs="宋体"/>
                <w:sz w:val="24"/>
              </w:rPr>
              <w:t>年</w:t>
            </w:r>
            <w:r>
              <w:rPr>
                <w:rFonts w:ascii="Times New Roman" w:hAnsi="Times New Roman" w:eastAsia="Times New Roman" w:cs="Times New Roman"/>
                <w:sz w:val="24"/>
              </w:rPr>
              <w:t>3</w:t>
            </w:r>
            <w:r>
              <w:rPr>
                <w:rFonts w:ascii="宋体" w:hAnsi="宋体" w:eastAsia="宋体" w:cs="宋体"/>
                <w:sz w:val="24"/>
              </w:rPr>
              <w:t>月</w:t>
            </w:r>
          </w:p>
        </w:tc>
        <w:tc>
          <w:tcPr>
            <w:tcW w:w="3611" w:type="dxa"/>
            <w:tcBorders>
              <w:top w:val="single" w:color="000000" w:sz="4" w:space="0"/>
              <w:left w:val="single" w:color="000000" w:sz="4" w:space="0"/>
              <w:bottom w:val="single" w:color="000000" w:sz="4" w:space="0"/>
              <w:right w:val="single" w:color="000000" w:sz="4" w:space="0"/>
            </w:tcBorders>
            <w:vAlign w:val="center"/>
          </w:tcPr>
          <w:p w14:paraId="2965260F">
            <w:pPr>
              <w:spacing w:after="0" w:line="259" w:lineRule="auto"/>
              <w:ind w:left="1" w:right="0" w:firstLine="0"/>
            </w:pPr>
            <w:r>
              <w:rPr>
                <w:rFonts w:ascii="宋体" w:hAnsi="宋体" w:eastAsia="宋体" w:cs="宋体"/>
                <w:sz w:val="24"/>
              </w:rPr>
              <w:t>《财政部 税务总局关于进一步完善研发费用税前加计扣除政策的公告》（</w:t>
            </w:r>
            <w:r>
              <w:rPr>
                <w:rFonts w:ascii="Times New Roman" w:hAnsi="Times New Roman" w:eastAsia="Times New Roman" w:cs="Times New Roman"/>
                <w:sz w:val="24"/>
              </w:rPr>
              <w:t>2023</w:t>
            </w:r>
            <w:r>
              <w:rPr>
                <w:rFonts w:ascii="宋体" w:hAnsi="宋体" w:eastAsia="宋体" w:cs="宋体"/>
                <w:sz w:val="24"/>
              </w:rPr>
              <w:t>年第</w:t>
            </w:r>
            <w:r>
              <w:rPr>
                <w:rFonts w:ascii="Times New Roman" w:hAnsi="Times New Roman" w:eastAsia="Times New Roman" w:cs="Times New Roman"/>
                <w:sz w:val="24"/>
              </w:rPr>
              <w:t>7</w:t>
            </w:r>
            <w:r>
              <w:rPr>
                <w:rFonts w:ascii="宋体" w:hAnsi="宋体" w:eastAsia="宋体" w:cs="宋体"/>
                <w:sz w:val="24"/>
              </w:rPr>
              <w:t>号）</w:t>
            </w:r>
          </w:p>
        </w:tc>
        <w:tc>
          <w:tcPr>
            <w:tcW w:w="3724" w:type="dxa"/>
            <w:tcBorders>
              <w:top w:val="single" w:color="000000" w:sz="4" w:space="0"/>
              <w:left w:val="single" w:color="000000" w:sz="4" w:space="0"/>
              <w:bottom w:val="single" w:color="000000" w:sz="4" w:space="0"/>
              <w:right w:val="single" w:color="000000" w:sz="4" w:space="0"/>
            </w:tcBorders>
          </w:tcPr>
          <w:p w14:paraId="138BE586">
            <w:pPr>
              <w:spacing w:after="0" w:line="259" w:lineRule="auto"/>
              <w:ind w:right="0" w:firstLine="0"/>
            </w:pPr>
            <w:r>
              <w:rPr>
                <w:rFonts w:ascii="宋体" w:hAnsi="宋体" w:eastAsia="宋体" w:cs="宋体"/>
                <w:sz w:val="24"/>
              </w:rPr>
              <w:t xml:space="preserve">将符合条件行业企业研发费用税前加计扣除比例由 </w:t>
            </w:r>
            <w:r>
              <w:rPr>
                <w:rFonts w:ascii="Times New Roman" w:hAnsi="Times New Roman" w:eastAsia="Times New Roman" w:cs="Times New Roman"/>
                <w:sz w:val="24"/>
              </w:rPr>
              <w:t>75%</w:t>
            </w:r>
            <w:r>
              <w:rPr>
                <w:rFonts w:ascii="宋体" w:hAnsi="宋体" w:eastAsia="宋体" w:cs="宋体"/>
                <w:sz w:val="24"/>
              </w:rPr>
              <w:t xml:space="preserve">提高至 </w:t>
            </w:r>
            <w:r>
              <w:rPr>
                <w:rFonts w:ascii="Times New Roman" w:hAnsi="Times New Roman" w:eastAsia="Times New Roman" w:cs="Times New Roman"/>
                <w:sz w:val="24"/>
              </w:rPr>
              <w:t>100%</w:t>
            </w:r>
            <w:r>
              <w:rPr>
                <w:rFonts w:ascii="宋体" w:hAnsi="宋体" w:eastAsia="宋体" w:cs="宋体"/>
                <w:sz w:val="24"/>
              </w:rPr>
              <w:t>的政策，作为制度性安排长期实施。</w:t>
            </w:r>
          </w:p>
        </w:tc>
      </w:tr>
      <w:tr w14:paraId="33DFB6AA">
        <w:tblPrEx>
          <w:tblCellMar>
            <w:top w:w="115" w:type="dxa"/>
            <w:left w:w="107" w:type="dxa"/>
            <w:bottom w:w="0" w:type="dxa"/>
            <w:right w:w="0" w:type="dxa"/>
          </w:tblCellMar>
        </w:tblPrEx>
        <w:trPr>
          <w:trHeight w:val="1610" w:hRule="atLeast"/>
        </w:trPr>
        <w:tc>
          <w:tcPr>
            <w:tcW w:w="1951" w:type="dxa"/>
            <w:tcBorders>
              <w:top w:val="single" w:color="000000" w:sz="4" w:space="0"/>
              <w:left w:val="single" w:color="000000" w:sz="4" w:space="0"/>
              <w:bottom w:val="single" w:color="000000" w:sz="4" w:space="0"/>
              <w:right w:val="single" w:color="000000" w:sz="4" w:space="0"/>
            </w:tcBorders>
            <w:vAlign w:val="center"/>
          </w:tcPr>
          <w:p w14:paraId="63050715">
            <w:pPr>
              <w:spacing w:after="0" w:line="259" w:lineRule="auto"/>
              <w:ind w:left="2" w:right="0" w:firstLine="0"/>
              <w:jc w:val="center"/>
            </w:pPr>
            <w:r>
              <w:rPr>
                <w:rFonts w:ascii="Times New Roman" w:hAnsi="Times New Roman" w:eastAsia="Times New Roman" w:cs="Times New Roman"/>
                <w:sz w:val="24"/>
              </w:rPr>
              <w:t>2023</w:t>
            </w:r>
            <w:r>
              <w:rPr>
                <w:rFonts w:ascii="宋体" w:hAnsi="宋体" w:eastAsia="宋体" w:cs="宋体"/>
                <w:sz w:val="24"/>
              </w:rPr>
              <w:t>年</w:t>
            </w:r>
            <w:r>
              <w:rPr>
                <w:rFonts w:ascii="Times New Roman" w:hAnsi="Times New Roman" w:eastAsia="Times New Roman" w:cs="Times New Roman"/>
                <w:sz w:val="24"/>
              </w:rPr>
              <w:t>6</w:t>
            </w:r>
            <w:r>
              <w:rPr>
                <w:rFonts w:ascii="宋体" w:hAnsi="宋体" w:eastAsia="宋体" w:cs="宋体"/>
                <w:sz w:val="24"/>
              </w:rPr>
              <w:t>月</w:t>
            </w:r>
          </w:p>
        </w:tc>
        <w:tc>
          <w:tcPr>
            <w:tcW w:w="3611" w:type="dxa"/>
            <w:tcBorders>
              <w:top w:val="single" w:color="000000" w:sz="4" w:space="0"/>
              <w:left w:val="single" w:color="000000" w:sz="4" w:space="0"/>
              <w:bottom w:val="single" w:color="000000" w:sz="4" w:space="0"/>
              <w:right w:val="single" w:color="000000" w:sz="4" w:space="0"/>
            </w:tcBorders>
          </w:tcPr>
          <w:p w14:paraId="5BF74569">
            <w:pPr>
              <w:spacing w:after="0" w:line="259" w:lineRule="auto"/>
              <w:ind w:left="1" w:right="0" w:firstLine="0"/>
            </w:pPr>
            <w:r>
              <w:rPr>
                <w:rFonts w:ascii="宋体" w:hAnsi="宋体" w:eastAsia="宋体" w:cs="宋体"/>
                <w:sz w:val="24"/>
              </w:rPr>
              <w:t>《国家税务总局 财政部关于优化预缴申报享受研发费用加计扣除政策有关事项的公告》（</w:t>
            </w:r>
            <w:r>
              <w:rPr>
                <w:rFonts w:ascii="Times New Roman" w:hAnsi="Times New Roman" w:eastAsia="Times New Roman" w:cs="Times New Roman"/>
                <w:sz w:val="24"/>
              </w:rPr>
              <w:t xml:space="preserve">2023 </w:t>
            </w:r>
            <w:r>
              <w:rPr>
                <w:rFonts w:ascii="宋体" w:hAnsi="宋体" w:eastAsia="宋体" w:cs="宋体"/>
                <w:sz w:val="24"/>
              </w:rPr>
              <w:t>年第</w:t>
            </w:r>
            <w:r>
              <w:rPr>
                <w:rFonts w:ascii="Times New Roman" w:hAnsi="Times New Roman" w:eastAsia="Times New Roman" w:cs="Times New Roman"/>
                <w:sz w:val="24"/>
              </w:rPr>
              <w:t>11</w:t>
            </w:r>
            <w:r>
              <w:rPr>
                <w:rFonts w:ascii="宋体" w:hAnsi="宋体" w:eastAsia="宋体" w:cs="宋体"/>
                <w:sz w:val="24"/>
              </w:rPr>
              <w:t>号）</w:t>
            </w:r>
          </w:p>
        </w:tc>
        <w:tc>
          <w:tcPr>
            <w:tcW w:w="3724" w:type="dxa"/>
            <w:tcBorders>
              <w:top w:val="single" w:color="000000" w:sz="4" w:space="0"/>
              <w:left w:val="single" w:color="000000" w:sz="4" w:space="0"/>
              <w:bottom w:val="single" w:color="000000" w:sz="4" w:space="0"/>
              <w:right w:val="single" w:color="000000" w:sz="4" w:space="0"/>
            </w:tcBorders>
            <w:vAlign w:val="center"/>
          </w:tcPr>
          <w:p w14:paraId="481EF261">
            <w:pPr>
              <w:spacing w:after="0" w:line="259" w:lineRule="auto"/>
              <w:ind w:right="0" w:firstLine="0"/>
            </w:pPr>
            <w:r>
              <w:rPr>
                <w:rFonts w:ascii="宋体" w:hAnsi="宋体" w:eastAsia="宋体" w:cs="宋体"/>
                <w:sz w:val="24"/>
              </w:rPr>
              <w:t>再新增一个享受时点，</w:t>
            </w:r>
            <w:r>
              <w:rPr>
                <w:rFonts w:ascii="Times New Roman" w:hAnsi="Times New Roman" w:eastAsia="Times New Roman" w:cs="Times New Roman"/>
                <w:sz w:val="24"/>
              </w:rPr>
              <w:t>7</w:t>
            </w:r>
            <w:r>
              <w:rPr>
                <w:rFonts w:ascii="宋体" w:hAnsi="宋体" w:eastAsia="宋体" w:cs="宋体"/>
                <w:sz w:val="24"/>
              </w:rPr>
              <w:t>月份预缴申报时企业可就当年上半年发生的研发费用享受加计扣除政策。</w:t>
            </w:r>
          </w:p>
        </w:tc>
      </w:tr>
    </w:tbl>
    <w:p w14:paraId="42B55113">
      <w:pPr>
        <w:pStyle w:val="3"/>
        <w:ind w:left="554"/>
      </w:pPr>
      <w:bookmarkStart w:id="3" w:name="_Toc30229"/>
      <w:r>
        <w:t>（三）研发费用加计扣除与据实扣除的概念</w:t>
      </w:r>
      <w:bookmarkEnd w:id="3"/>
    </w:p>
    <w:p w14:paraId="0CB69537">
      <w:pPr>
        <w:ind w:left="-15" w:right="0"/>
      </w:pPr>
      <w:r>
        <w:rPr>
          <w:rFonts w:ascii="Times New Roman" w:hAnsi="Times New Roman" w:eastAsia="Times New Roman" w:cs="Times New Roman"/>
        </w:rPr>
        <w:t>1.</w:t>
      </w:r>
      <w:r>
        <w:t>加计扣除是企业所得税的一种税基式优惠方式，一般是指按照税法规定在实际扣除额的基础上，再加成一定比例，作为计算应纳税所得额时的扣除额。对企业的研发费用实施加计扣除，则称之为研发费用加计扣除。</w:t>
      </w:r>
    </w:p>
    <w:p w14:paraId="2041D9B4">
      <w:pPr>
        <w:ind w:left="-15" w:right="0"/>
      </w:pPr>
      <w:r>
        <w:rPr>
          <w:rFonts w:ascii="Times New Roman" w:hAnsi="Times New Roman" w:eastAsia="Times New Roman" w:cs="Times New Roman"/>
        </w:rPr>
        <w:t>2.</w:t>
      </w:r>
      <w:r>
        <w:t>“研发费用加计扣除”与“研发费用据实扣除”既有相同点又有不同点。</w:t>
      </w:r>
    </w:p>
    <w:p w14:paraId="3CE4247D">
      <w:pPr>
        <w:spacing w:after="96" w:line="259" w:lineRule="auto"/>
        <w:ind w:left="559" w:right="0" w:firstLine="0"/>
      </w:pPr>
      <w:r>
        <w:t>其相同点主要体现在以下方面：</w:t>
      </w:r>
    </w:p>
    <w:p w14:paraId="3D4FE1CA">
      <w:pPr>
        <w:numPr>
          <w:ilvl w:val="0"/>
          <w:numId w:val="4"/>
        </w:numPr>
        <w:ind w:right="0"/>
      </w:pPr>
      <w:r>
        <w:t>研发活动特征相同。两者都是企业为获得科学与技术（不包括人文、社会科学）新知识，创造性运用科学技术新知识，或实质性改进技术、工艺、产品（服务）而持续进行的具有明确目标的研究开发活动。</w:t>
      </w:r>
    </w:p>
    <w:p w14:paraId="2F775224">
      <w:pPr>
        <w:numPr>
          <w:ilvl w:val="0"/>
          <w:numId w:val="4"/>
        </w:numPr>
        <w:ind w:right="0"/>
      </w:pPr>
      <w:r>
        <w:t>研发费用处理方式相同。企业实际发生的研发支出费用化与资本化处理的原则，按照财务会计制度规定执行。</w:t>
      </w:r>
    </w:p>
    <w:p w14:paraId="5953B20A">
      <w:pPr>
        <w:numPr>
          <w:ilvl w:val="0"/>
          <w:numId w:val="4"/>
        </w:numPr>
        <w:spacing w:line="324" w:lineRule="auto"/>
        <w:ind w:right="0"/>
      </w:pPr>
      <w:r>
        <w:t>不允许税前扣除费用范围相同。法律、行政法规和国务院财税主管部门规定不允许企业所得税前扣除的费用和支出项目，同样不允许加计扣除。</w:t>
      </w:r>
    </w:p>
    <w:p w14:paraId="67058B72">
      <w:pPr>
        <w:numPr>
          <w:ilvl w:val="0"/>
          <w:numId w:val="4"/>
        </w:numPr>
        <w:spacing w:after="89"/>
        <w:ind w:right="0"/>
      </w:pPr>
      <w:r>
        <w:t>核算要求基本相同。企业未设立专门的研发机构或企业研发机构同时承担生产经营任务的，应对研发费用和生产经营费用分开进行核算，准确、合理地计算研发费用。</w:t>
      </w:r>
    </w:p>
    <w:p w14:paraId="359F5713">
      <w:pPr>
        <w:spacing w:after="94" w:line="259" w:lineRule="auto"/>
        <w:ind w:left="559" w:right="0" w:firstLine="0"/>
      </w:pPr>
      <w:r>
        <w:t>其不同点主要体现在以下方面：</w:t>
      </w:r>
    </w:p>
    <w:p w14:paraId="145BDCFA">
      <w:pPr>
        <w:numPr>
          <w:ilvl w:val="0"/>
          <w:numId w:val="5"/>
        </w:numPr>
        <w:ind w:right="0"/>
      </w:pPr>
      <w:r>
        <w:t>适用对象不同。研发费用加计扣除仅适用于财务核算健全并能准确归集核算研发费用的居民企业，而研发费用据实扣除适用于能够准确核算研发费用的所有企业。</w:t>
      </w:r>
    </w:p>
    <w:p w14:paraId="49FE18B3">
      <w:pPr>
        <w:numPr>
          <w:ilvl w:val="0"/>
          <w:numId w:val="5"/>
        </w:numPr>
        <w:ind w:right="0"/>
      </w:pPr>
      <w:r>
        <w:t>行业限制不同。享受研发费用加计扣除的企业有负面清单行业的限制，而据实扣除则没有负面清单行业的限制。</w:t>
      </w:r>
    </w:p>
    <w:p w14:paraId="51307FEE">
      <w:pPr>
        <w:numPr>
          <w:ilvl w:val="0"/>
          <w:numId w:val="5"/>
        </w:numPr>
        <w:spacing w:after="391"/>
        <w:ind w:right="0"/>
      </w:pPr>
      <w:r>
        <w:t>研发费用范围不同。加计扣除的研发费用范围限于财税〔</w:t>
      </w:r>
      <w:r>
        <w:rPr>
          <w:rFonts w:ascii="Times New Roman" w:hAnsi="Times New Roman" w:eastAsia="Times New Roman" w:cs="Times New Roman"/>
        </w:rPr>
        <w:t>2015</w:t>
      </w:r>
      <w:r>
        <w:t xml:space="preserve">〕 </w:t>
      </w:r>
      <w:r>
        <w:rPr>
          <w:rFonts w:ascii="Times New Roman" w:hAnsi="Times New Roman" w:eastAsia="Times New Roman" w:cs="Times New Roman"/>
        </w:rPr>
        <w:t xml:space="preserve">119 </w:t>
      </w:r>
      <w:r>
        <w:t xml:space="preserve">号等文件列举的 </w:t>
      </w:r>
      <w:r>
        <w:rPr>
          <w:rFonts w:ascii="Times New Roman" w:hAnsi="Times New Roman" w:eastAsia="Times New Roman" w:cs="Times New Roman"/>
        </w:rPr>
        <w:t xml:space="preserve">6 </w:t>
      </w:r>
      <w:r>
        <w:t>项费用及明细项，而据实扣除的研发费用范围按照税收及财务会计制度的规定确定。</w:t>
      </w:r>
    </w:p>
    <w:p w14:paraId="70BF18F5">
      <w:pPr>
        <w:pStyle w:val="2"/>
      </w:pPr>
      <w:bookmarkStart w:id="4" w:name="_Toc30230"/>
      <w:r>
        <w:t>二、研发活动界定</w:t>
      </w:r>
      <w:bookmarkEnd w:id="4"/>
    </w:p>
    <w:p w14:paraId="284B35AB">
      <w:pPr>
        <w:pStyle w:val="3"/>
        <w:ind w:left="554"/>
      </w:pPr>
      <w:bookmarkStart w:id="5" w:name="_Toc30231"/>
      <w:r>
        <w:t>（一）研发活动的概念与类型</w:t>
      </w:r>
      <w:bookmarkEnd w:id="5"/>
    </w:p>
    <w:p w14:paraId="60DCDF87">
      <w:pPr>
        <w:ind w:left="-15" w:right="0"/>
      </w:pPr>
      <w:r>
        <w:t>企业申请享受研发费用加计扣除政策，</w:t>
      </w:r>
      <w:r>
        <w:rPr>
          <w:color w:val="FF0000"/>
        </w:rPr>
        <w:t>首先需要明确其研发项目是否为研发活动</w:t>
      </w:r>
      <w:r>
        <w:t>。根据财税〔2015〕119号的规定，研发活动是指企业为获得科学与技术新知识，创造性运用科学技术新知识，或实质性改进技术、产品</w:t>
      </w:r>
    </w:p>
    <w:p w14:paraId="2F642C79">
      <w:pPr>
        <w:spacing w:after="85" w:line="259" w:lineRule="auto"/>
        <w:ind w:left="-15" w:right="0" w:firstLine="0"/>
      </w:pPr>
      <w:r>
        <w:t>（服务）、工艺而持续进行的具有明确目标的系统性活动。</w:t>
      </w:r>
    </w:p>
    <w:p w14:paraId="3BE03EF6">
      <w:pPr>
        <w:spacing w:after="1885"/>
        <w:ind w:left="-15" w:right="0"/>
      </w:pPr>
      <w:r>
        <w:t>该定义主要参照《弗拉斯卡蒂（Frascati）手册》《企业会计准则第6 号—无形资产》《企业会计制度》对研发活动的界定。研发活动可分为</w:t>
      </w:r>
      <w:r>
        <w:rPr>
          <w:color w:val="FF0000"/>
        </w:rPr>
        <w:t>基础研究、应用研究、试验发展3种类型（见表</w:t>
      </w:r>
      <w:r>
        <w:t>2）。</w:t>
      </w:r>
    </w:p>
    <w:p w14:paraId="3F5935DB">
      <w:pPr>
        <w:spacing w:line="259" w:lineRule="auto"/>
        <w:ind w:left="430" w:right="562" w:hanging="10"/>
        <w:jc w:val="center"/>
      </w:pPr>
      <w:r>
        <w:rPr>
          <w:rFonts w:ascii="黑体" w:hAnsi="黑体" w:eastAsia="黑体" w:cs="黑体"/>
        </w:rPr>
        <w:t>表2 研发活动类型及形式</w:t>
      </w:r>
    </w:p>
    <w:tbl>
      <w:tblPr>
        <w:tblStyle w:val="11"/>
        <w:tblW w:w="9043" w:type="dxa"/>
        <w:tblInd w:w="13" w:type="dxa"/>
        <w:tblLayout w:type="autofit"/>
        <w:tblCellMar>
          <w:top w:w="123" w:type="dxa"/>
          <w:left w:w="108" w:type="dxa"/>
          <w:bottom w:w="51" w:type="dxa"/>
          <w:right w:w="0" w:type="dxa"/>
        </w:tblCellMar>
      </w:tblPr>
      <w:tblGrid>
        <w:gridCol w:w="606"/>
        <w:gridCol w:w="3147"/>
        <w:gridCol w:w="3297"/>
        <w:gridCol w:w="1993"/>
      </w:tblGrid>
      <w:tr w14:paraId="37101763">
        <w:tblPrEx>
          <w:tblCellMar>
            <w:top w:w="123" w:type="dxa"/>
            <w:left w:w="108" w:type="dxa"/>
            <w:bottom w:w="51" w:type="dxa"/>
            <w:right w:w="0" w:type="dxa"/>
          </w:tblCellMar>
        </w:tblPrEx>
        <w:trPr>
          <w:trHeight w:val="633" w:hRule="atLeast"/>
        </w:trPr>
        <w:tc>
          <w:tcPr>
            <w:tcW w:w="606" w:type="dxa"/>
            <w:vMerge w:val="restart"/>
            <w:tcBorders>
              <w:top w:val="single" w:color="000000" w:sz="12" w:space="0"/>
              <w:left w:val="single" w:color="000000" w:sz="12" w:space="0"/>
              <w:bottom w:val="single" w:color="000000" w:sz="6" w:space="0"/>
              <w:right w:val="single" w:color="000000" w:sz="6" w:space="0"/>
            </w:tcBorders>
            <w:vAlign w:val="center"/>
          </w:tcPr>
          <w:p w14:paraId="07F0AEBF">
            <w:pPr>
              <w:spacing w:after="0" w:line="259" w:lineRule="auto"/>
              <w:ind w:right="64" w:firstLine="0"/>
              <w:jc w:val="center"/>
            </w:pPr>
            <w:r>
              <w:rPr>
                <w:rFonts w:ascii="宋体" w:hAnsi="宋体" w:eastAsia="宋体" w:cs="宋体"/>
                <w:sz w:val="24"/>
              </w:rPr>
              <w:t>类型</w:t>
            </w:r>
          </w:p>
        </w:tc>
        <w:tc>
          <w:tcPr>
            <w:tcW w:w="6444" w:type="dxa"/>
            <w:gridSpan w:val="2"/>
            <w:tcBorders>
              <w:top w:val="single" w:color="000000" w:sz="12" w:space="0"/>
              <w:left w:val="single" w:color="000000" w:sz="6" w:space="0"/>
              <w:bottom w:val="single" w:color="000000" w:sz="6" w:space="0"/>
              <w:right w:val="single" w:color="000000" w:sz="6" w:space="0"/>
            </w:tcBorders>
            <w:vAlign w:val="center"/>
          </w:tcPr>
          <w:p w14:paraId="0685E662">
            <w:pPr>
              <w:spacing w:after="0" w:line="259" w:lineRule="auto"/>
              <w:ind w:right="107" w:firstLine="0"/>
              <w:jc w:val="center"/>
            </w:pPr>
            <w:r>
              <w:rPr>
                <w:rFonts w:ascii="宋体" w:hAnsi="宋体" w:eastAsia="宋体" w:cs="宋体"/>
                <w:sz w:val="24"/>
              </w:rPr>
              <w:t>研发活动</w:t>
            </w:r>
          </w:p>
        </w:tc>
        <w:tc>
          <w:tcPr>
            <w:tcW w:w="1993" w:type="dxa"/>
            <w:vMerge w:val="restart"/>
            <w:tcBorders>
              <w:top w:val="single" w:color="000000" w:sz="12" w:space="0"/>
              <w:left w:val="single" w:color="000000" w:sz="6" w:space="0"/>
              <w:bottom w:val="single" w:color="000000" w:sz="6" w:space="0"/>
              <w:right w:val="single" w:color="000000" w:sz="12" w:space="0"/>
            </w:tcBorders>
            <w:vAlign w:val="center"/>
          </w:tcPr>
          <w:p w14:paraId="525B8291">
            <w:pPr>
              <w:spacing w:after="0" w:line="259" w:lineRule="auto"/>
              <w:ind w:left="289" w:right="0" w:firstLine="0"/>
            </w:pPr>
            <w:r>
              <w:rPr>
                <w:rFonts w:ascii="宋体" w:hAnsi="宋体" w:eastAsia="宋体" w:cs="宋体"/>
                <w:sz w:val="24"/>
              </w:rPr>
              <w:t>非研发活动</w:t>
            </w:r>
          </w:p>
        </w:tc>
      </w:tr>
      <w:tr w14:paraId="44EDDB43">
        <w:tblPrEx>
          <w:tblCellMar>
            <w:top w:w="123" w:type="dxa"/>
            <w:left w:w="108" w:type="dxa"/>
            <w:bottom w:w="51" w:type="dxa"/>
            <w:right w:w="0" w:type="dxa"/>
          </w:tblCellMar>
        </w:tblPrEx>
        <w:trPr>
          <w:trHeight w:val="685" w:hRule="atLeast"/>
        </w:trPr>
        <w:tc>
          <w:tcPr>
            <w:tcW w:w="0" w:type="auto"/>
            <w:vMerge w:val="continue"/>
            <w:tcBorders>
              <w:top w:val="nil"/>
              <w:left w:val="single" w:color="000000" w:sz="12" w:space="0"/>
              <w:bottom w:val="single" w:color="000000" w:sz="6" w:space="0"/>
              <w:right w:val="single" w:color="000000" w:sz="6" w:space="0"/>
            </w:tcBorders>
          </w:tcPr>
          <w:p w14:paraId="22C3579B">
            <w:pPr>
              <w:spacing w:after="160" w:line="259" w:lineRule="auto"/>
              <w:ind w:right="0" w:firstLine="0"/>
            </w:pPr>
          </w:p>
        </w:tc>
        <w:tc>
          <w:tcPr>
            <w:tcW w:w="3147" w:type="dxa"/>
            <w:tcBorders>
              <w:top w:val="single" w:color="000000" w:sz="6" w:space="0"/>
              <w:left w:val="single" w:color="000000" w:sz="6" w:space="0"/>
              <w:bottom w:val="single" w:color="000000" w:sz="6" w:space="0"/>
              <w:right w:val="single" w:color="000000" w:sz="6" w:space="0"/>
            </w:tcBorders>
            <w:vAlign w:val="center"/>
          </w:tcPr>
          <w:p w14:paraId="472A30F6">
            <w:pPr>
              <w:spacing w:after="0" w:line="259" w:lineRule="auto"/>
              <w:ind w:right="107" w:firstLine="0"/>
              <w:jc w:val="center"/>
            </w:pPr>
            <w:r>
              <w:rPr>
                <w:rFonts w:ascii="宋体" w:hAnsi="宋体" w:eastAsia="宋体" w:cs="宋体"/>
                <w:sz w:val="24"/>
              </w:rPr>
              <w:t>主要目的</w:t>
            </w:r>
          </w:p>
        </w:tc>
        <w:tc>
          <w:tcPr>
            <w:tcW w:w="3297" w:type="dxa"/>
            <w:tcBorders>
              <w:top w:val="single" w:color="000000" w:sz="6" w:space="0"/>
              <w:left w:val="single" w:color="000000" w:sz="6" w:space="0"/>
              <w:bottom w:val="single" w:color="000000" w:sz="6" w:space="0"/>
              <w:right w:val="single" w:color="000000" w:sz="6" w:space="0"/>
            </w:tcBorders>
            <w:vAlign w:val="center"/>
          </w:tcPr>
          <w:p w14:paraId="2FAE7A03">
            <w:pPr>
              <w:spacing w:after="0" w:line="259" w:lineRule="auto"/>
              <w:ind w:right="105" w:firstLine="0"/>
              <w:jc w:val="center"/>
            </w:pPr>
            <w:r>
              <w:rPr>
                <w:rFonts w:ascii="宋体" w:hAnsi="宋体" w:eastAsia="宋体" w:cs="宋体"/>
                <w:sz w:val="24"/>
              </w:rPr>
              <w:t>具体形式</w:t>
            </w:r>
          </w:p>
        </w:tc>
        <w:tc>
          <w:tcPr>
            <w:tcW w:w="0" w:type="auto"/>
            <w:vMerge w:val="continue"/>
            <w:tcBorders>
              <w:top w:val="nil"/>
              <w:left w:val="single" w:color="000000" w:sz="6" w:space="0"/>
              <w:bottom w:val="single" w:color="000000" w:sz="6" w:space="0"/>
              <w:right w:val="single" w:color="000000" w:sz="12" w:space="0"/>
            </w:tcBorders>
          </w:tcPr>
          <w:p w14:paraId="76B76304">
            <w:pPr>
              <w:spacing w:after="160" w:line="259" w:lineRule="auto"/>
              <w:ind w:right="0" w:firstLine="0"/>
            </w:pPr>
          </w:p>
        </w:tc>
      </w:tr>
      <w:tr w14:paraId="1AB2A1FD">
        <w:tblPrEx>
          <w:tblCellMar>
            <w:top w:w="123" w:type="dxa"/>
            <w:left w:w="108" w:type="dxa"/>
            <w:bottom w:w="51" w:type="dxa"/>
            <w:right w:w="0" w:type="dxa"/>
          </w:tblCellMar>
        </w:tblPrEx>
        <w:trPr>
          <w:trHeight w:val="4015" w:hRule="atLeast"/>
        </w:trPr>
        <w:tc>
          <w:tcPr>
            <w:tcW w:w="606" w:type="dxa"/>
            <w:tcBorders>
              <w:top w:val="single" w:color="000000" w:sz="6" w:space="0"/>
              <w:left w:val="single" w:color="000000" w:sz="12" w:space="0"/>
              <w:bottom w:val="single" w:color="000000" w:sz="6" w:space="0"/>
              <w:right w:val="single" w:color="000000" w:sz="6" w:space="0"/>
            </w:tcBorders>
            <w:vAlign w:val="bottom"/>
          </w:tcPr>
          <w:p w14:paraId="5E54D31D">
            <w:pPr>
              <w:spacing w:after="0" w:line="259" w:lineRule="auto"/>
              <w:ind w:right="64" w:firstLine="0"/>
              <w:jc w:val="center"/>
            </w:pPr>
            <w:r>
              <w:rPr>
                <w:rFonts w:ascii="宋体" w:hAnsi="宋体" w:eastAsia="宋体" w:cs="宋体"/>
                <w:sz w:val="24"/>
              </w:rPr>
              <w:t>基础研究</w:t>
            </w:r>
          </w:p>
        </w:tc>
        <w:tc>
          <w:tcPr>
            <w:tcW w:w="3147" w:type="dxa"/>
            <w:tcBorders>
              <w:top w:val="single" w:color="000000" w:sz="6" w:space="0"/>
              <w:left w:val="single" w:color="000000" w:sz="6" w:space="0"/>
              <w:bottom w:val="single" w:color="000000" w:sz="6" w:space="0"/>
              <w:right w:val="single" w:color="000000" w:sz="6" w:space="0"/>
            </w:tcBorders>
            <w:vAlign w:val="center"/>
          </w:tcPr>
          <w:p w14:paraId="23C5DEF8">
            <w:pPr>
              <w:spacing w:after="0" w:line="259" w:lineRule="auto"/>
              <w:ind w:left="1" w:right="0" w:firstLine="0"/>
            </w:pPr>
            <w:r>
              <w:rPr>
                <w:rFonts w:ascii="宋体" w:hAnsi="宋体" w:eastAsia="宋体" w:cs="宋体"/>
                <w:sz w:val="24"/>
              </w:rPr>
              <w:t>基础研究不预设某一特定的应用或使用目的，主要是为获得关于现象和可观察事实的基本原理的新知识，可针对已知或具有前沿性的科学问题，或者针对人们普遍感兴趣的某些广泛领域，以未来广泛应用为目标。</w:t>
            </w:r>
          </w:p>
        </w:tc>
        <w:tc>
          <w:tcPr>
            <w:tcW w:w="3297" w:type="dxa"/>
            <w:tcBorders>
              <w:top w:val="single" w:color="000000" w:sz="6" w:space="0"/>
              <w:left w:val="single" w:color="000000" w:sz="6" w:space="0"/>
              <w:bottom w:val="single" w:color="000000" w:sz="6" w:space="0"/>
              <w:right w:val="single" w:color="000000" w:sz="6" w:space="0"/>
            </w:tcBorders>
          </w:tcPr>
          <w:p w14:paraId="6801400E">
            <w:pPr>
              <w:spacing w:after="0" w:line="259" w:lineRule="auto"/>
              <w:ind w:right="0" w:firstLine="0"/>
            </w:pPr>
            <w:r>
              <w:rPr>
                <w:rFonts w:ascii="宋体" w:hAnsi="宋体" w:eastAsia="宋体" w:cs="宋体"/>
                <w:sz w:val="24"/>
              </w:rPr>
              <w:t>分为两种类型：一是自由探索性基础研究，即为了增进知识，不追求经济或社会效益，也不积极谋求将其应用于实际问题或把成果转移到负责应用的部门；二是目标导向（定向）基础研究，旨在获取某方面知识、期望为探索解决当前已知或未来可能发现的问题奠定基础。</w:t>
            </w:r>
          </w:p>
        </w:tc>
        <w:tc>
          <w:tcPr>
            <w:tcW w:w="1993" w:type="dxa"/>
            <w:tcBorders>
              <w:top w:val="single" w:color="000000" w:sz="6" w:space="0"/>
              <w:left w:val="single" w:color="000000" w:sz="6" w:space="0"/>
              <w:bottom w:val="single" w:color="000000" w:sz="6" w:space="0"/>
              <w:right w:val="single" w:color="000000" w:sz="12" w:space="0"/>
            </w:tcBorders>
            <w:vAlign w:val="center"/>
          </w:tcPr>
          <w:p w14:paraId="2D967F5D">
            <w:pPr>
              <w:spacing w:after="0" w:line="259" w:lineRule="auto"/>
              <w:ind w:left="1" w:right="0" w:firstLine="0"/>
            </w:pPr>
            <w:r>
              <w:rPr>
                <w:rFonts w:ascii="宋体" w:hAnsi="宋体" w:eastAsia="宋体" w:cs="宋体"/>
                <w:sz w:val="24"/>
              </w:rPr>
              <w:t>艺术或人文学方面的研究。</w:t>
            </w:r>
          </w:p>
        </w:tc>
      </w:tr>
      <w:tr w14:paraId="4942A717">
        <w:tblPrEx>
          <w:tblCellMar>
            <w:top w:w="123" w:type="dxa"/>
            <w:left w:w="108" w:type="dxa"/>
            <w:bottom w:w="51" w:type="dxa"/>
            <w:right w:w="0" w:type="dxa"/>
          </w:tblCellMar>
        </w:tblPrEx>
        <w:trPr>
          <w:trHeight w:val="2415" w:hRule="atLeast"/>
        </w:trPr>
        <w:tc>
          <w:tcPr>
            <w:tcW w:w="606" w:type="dxa"/>
            <w:tcBorders>
              <w:top w:val="single" w:color="000000" w:sz="6" w:space="0"/>
              <w:left w:val="single" w:color="000000" w:sz="12" w:space="0"/>
              <w:bottom w:val="single" w:color="000000" w:sz="6" w:space="0"/>
              <w:right w:val="single" w:color="000000" w:sz="6" w:space="0"/>
            </w:tcBorders>
            <w:vAlign w:val="center"/>
          </w:tcPr>
          <w:p w14:paraId="0FE7FB76">
            <w:pPr>
              <w:spacing w:after="0" w:line="259" w:lineRule="auto"/>
              <w:ind w:right="64" w:firstLine="0"/>
              <w:jc w:val="center"/>
            </w:pPr>
            <w:r>
              <w:rPr>
                <w:rFonts w:ascii="宋体" w:hAnsi="宋体" w:eastAsia="宋体" w:cs="宋体"/>
                <w:sz w:val="24"/>
              </w:rPr>
              <w:t>应用研究</w:t>
            </w:r>
          </w:p>
        </w:tc>
        <w:tc>
          <w:tcPr>
            <w:tcW w:w="3147" w:type="dxa"/>
            <w:tcBorders>
              <w:top w:val="single" w:color="000000" w:sz="6" w:space="0"/>
              <w:left w:val="single" w:color="000000" w:sz="6" w:space="0"/>
              <w:bottom w:val="single" w:color="000000" w:sz="6" w:space="0"/>
              <w:right w:val="single" w:color="000000" w:sz="6" w:space="0"/>
            </w:tcBorders>
            <w:vAlign w:val="center"/>
          </w:tcPr>
          <w:p w14:paraId="624A077D">
            <w:pPr>
              <w:spacing w:after="0" w:line="259" w:lineRule="auto"/>
              <w:ind w:left="1" w:right="0" w:firstLine="0"/>
            </w:pPr>
            <w:r>
              <w:rPr>
                <w:rFonts w:ascii="宋体" w:hAnsi="宋体" w:eastAsia="宋体" w:cs="宋体"/>
                <w:sz w:val="24"/>
              </w:rPr>
              <w:t>主要针对某一特定的实际应用目的或目标，为获取新知识或寻找已有知识的实际应用途径而开展的创造性研究。</w:t>
            </w:r>
          </w:p>
        </w:tc>
        <w:tc>
          <w:tcPr>
            <w:tcW w:w="3297" w:type="dxa"/>
            <w:tcBorders>
              <w:top w:val="single" w:color="000000" w:sz="6" w:space="0"/>
              <w:left w:val="single" w:color="000000" w:sz="6" w:space="0"/>
              <w:bottom w:val="single" w:color="000000" w:sz="6" w:space="0"/>
              <w:right w:val="single" w:color="000000" w:sz="6" w:space="0"/>
            </w:tcBorders>
            <w:vAlign w:val="center"/>
          </w:tcPr>
          <w:p w14:paraId="1D2AE109">
            <w:pPr>
              <w:spacing w:after="0" w:line="259" w:lineRule="auto"/>
              <w:ind w:right="0" w:firstLine="0"/>
            </w:pPr>
            <w:r>
              <w:rPr>
                <w:rFonts w:ascii="宋体" w:hAnsi="宋体" w:eastAsia="宋体" w:cs="宋体"/>
                <w:sz w:val="24"/>
              </w:rPr>
              <w:t>包括辨别基础研究成果的可应用性，或者研究出一套使企业能够完成预先设定的发展目标的新方案等。</w:t>
            </w:r>
          </w:p>
        </w:tc>
        <w:tc>
          <w:tcPr>
            <w:tcW w:w="1993" w:type="dxa"/>
            <w:tcBorders>
              <w:top w:val="single" w:color="000000" w:sz="6" w:space="0"/>
              <w:left w:val="single" w:color="000000" w:sz="6" w:space="0"/>
              <w:bottom w:val="single" w:color="000000" w:sz="6" w:space="0"/>
              <w:right w:val="single" w:color="000000" w:sz="12" w:space="0"/>
            </w:tcBorders>
          </w:tcPr>
          <w:p w14:paraId="4E73BFC2">
            <w:pPr>
              <w:spacing w:after="0" w:line="259" w:lineRule="auto"/>
              <w:ind w:left="1" w:right="-12" w:firstLine="0"/>
            </w:pPr>
            <w:r>
              <w:rPr>
                <w:rFonts w:ascii="宋体" w:hAnsi="宋体" w:eastAsia="宋体" w:cs="宋体"/>
                <w:sz w:val="24"/>
              </w:rPr>
              <w:t>对某项科研成果的直接应用，对现存产品、服务、技术、材料或工艺流程进行的重复或简单改变。</w:t>
            </w:r>
          </w:p>
        </w:tc>
      </w:tr>
      <w:tr w14:paraId="3A8658D4">
        <w:tblPrEx>
          <w:tblCellMar>
            <w:top w:w="123" w:type="dxa"/>
            <w:left w:w="108" w:type="dxa"/>
            <w:bottom w:w="51" w:type="dxa"/>
            <w:right w:w="0" w:type="dxa"/>
          </w:tblCellMar>
        </w:tblPrEx>
        <w:trPr>
          <w:trHeight w:val="3215" w:hRule="atLeast"/>
        </w:trPr>
        <w:tc>
          <w:tcPr>
            <w:tcW w:w="606" w:type="dxa"/>
            <w:tcBorders>
              <w:top w:val="single" w:color="000000" w:sz="6" w:space="0"/>
              <w:left w:val="single" w:color="000000" w:sz="12" w:space="0"/>
              <w:bottom w:val="single" w:color="000000" w:sz="6" w:space="0"/>
              <w:right w:val="single" w:color="000000" w:sz="6" w:space="0"/>
            </w:tcBorders>
            <w:vAlign w:val="center"/>
          </w:tcPr>
          <w:p w14:paraId="03283127">
            <w:pPr>
              <w:spacing w:after="0" w:line="259" w:lineRule="auto"/>
              <w:ind w:right="64" w:firstLine="0"/>
              <w:jc w:val="center"/>
            </w:pPr>
            <w:r>
              <w:rPr>
                <w:rFonts w:ascii="宋体" w:hAnsi="宋体" w:eastAsia="宋体" w:cs="宋体"/>
                <w:sz w:val="24"/>
              </w:rPr>
              <w:t>试验发展</w:t>
            </w:r>
          </w:p>
        </w:tc>
        <w:tc>
          <w:tcPr>
            <w:tcW w:w="3147" w:type="dxa"/>
            <w:tcBorders>
              <w:top w:val="single" w:color="000000" w:sz="6" w:space="0"/>
              <w:left w:val="single" w:color="000000" w:sz="6" w:space="0"/>
              <w:bottom w:val="single" w:color="000000" w:sz="6" w:space="0"/>
              <w:right w:val="single" w:color="000000" w:sz="6" w:space="0"/>
            </w:tcBorders>
          </w:tcPr>
          <w:p w14:paraId="01D9B88E">
            <w:pPr>
              <w:spacing w:after="0" w:line="259" w:lineRule="auto"/>
              <w:ind w:left="1" w:right="-12" w:firstLine="0"/>
            </w:pPr>
            <w:r>
              <w:rPr>
                <w:rFonts w:ascii="宋体" w:hAnsi="宋体" w:eastAsia="宋体" w:cs="宋体"/>
                <w:sz w:val="24"/>
              </w:rPr>
              <w:t>主要是利用从科学研究和实际经验中获得的现有知识，为生产新材料、新产品、新设备，建立新工艺、新系统，或对已产生和已建立的上述各项进行实质性改进，而进行的开发、试制、小试、中试等试验性、系统性工作。</w:t>
            </w:r>
          </w:p>
        </w:tc>
        <w:tc>
          <w:tcPr>
            <w:tcW w:w="3297" w:type="dxa"/>
            <w:tcBorders>
              <w:top w:val="single" w:color="000000" w:sz="6" w:space="0"/>
              <w:left w:val="single" w:color="000000" w:sz="6" w:space="0"/>
              <w:bottom w:val="single" w:color="000000" w:sz="6" w:space="0"/>
              <w:right w:val="single" w:color="000000" w:sz="6" w:space="0"/>
            </w:tcBorders>
            <w:vAlign w:val="center"/>
          </w:tcPr>
          <w:p w14:paraId="46BA855E">
            <w:pPr>
              <w:spacing w:after="0" w:line="259" w:lineRule="auto"/>
              <w:ind w:right="0" w:firstLine="0"/>
            </w:pPr>
            <w:r>
              <w:rPr>
                <w:rFonts w:ascii="宋体" w:hAnsi="宋体" w:eastAsia="宋体" w:cs="宋体"/>
                <w:sz w:val="24"/>
              </w:rPr>
              <w:t>原型样机设计、制造、测试，设计新工艺所需要的专用设备和架构，对新产品和新工艺的构思、开发和样品制造等。</w:t>
            </w:r>
          </w:p>
        </w:tc>
        <w:tc>
          <w:tcPr>
            <w:tcW w:w="1993" w:type="dxa"/>
            <w:tcBorders>
              <w:top w:val="single" w:color="000000" w:sz="6" w:space="0"/>
              <w:left w:val="single" w:color="000000" w:sz="6" w:space="0"/>
              <w:bottom w:val="single" w:color="000000" w:sz="6" w:space="0"/>
              <w:right w:val="single" w:color="000000" w:sz="12" w:space="0"/>
            </w:tcBorders>
            <w:vAlign w:val="center"/>
          </w:tcPr>
          <w:p w14:paraId="2D62D2ED">
            <w:pPr>
              <w:spacing w:after="0" w:line="259" w:lineRule="auto"/>
              <w:ind w:left="1" w:right="-12" w:firstLine="0"/>
            </w:pPr>
            <w:r>
              <w:rPr>
                <w:rFonts w:ascii="宋体" w:hAnsi="宋体" w:eastAsia="宋体" w:cs="宋体"/>
                <w:sz w:val="24"/>
              </w:rPr>
              <w:t>市场调查、质量控制、测试分析、维修维护、常规测试、为生产工艺而进行的设计、试生产等。</w:t>
            </w:r>
          </w:p>
        </w:tc>
      </w:tr>
    </w:tbl>
    <w:p w14:paraId="37E8CAE5">
      <w:pPr>
        <w:pStyle w:val="3"/>
        <w:ind w:left="554"/>
      </w:pPr>
      <w:bookmarkStart w:id="6" w:name="_Toc30232"/>
      <w:r>
        <w:t>（二）研发活动判断的基本要点</w:t>
      </w:r>
      <w:bookmarkEnd w:id="6"/>
    </w:p>
    <w:p w14:paraId="72630050">
      <w:pPr>
        <w:ind w:left="-15" w:right="0"/>
      </w:pPr>
      <w:r>
        <w:t>根据研发活动的判断要点（见表3），企业可自行判断其项目是否为研发活动。</w:t>
      </w:r>
    </w:p>
    <w:p w14:paraId="529FE5CE">
      <w:pPr>
        <w:spacing w:line="259" w:lineRule="auto"/>
        <w:ind w:left="430" w:right="564" w:hanging="10"/>
        <w:jc w:val="center"/>
      </w:pPr>
      <w:r>
        <w:rPr>
          <w:rFonts w:ascii="黑体" w:hAnsi="黑体" w:eastAsia="黑体" w:cs="黑体"/>
        </w:rPr>
        <w:t>表3 研发活动判断要点及内涵</w:t>
      </w:r>
    </w:p>
    <w:tbl>
      <w:tblPr>
        <w:tblStyle w:val="11"/>
        <w:tblW w:w="9241" w:type="dxa"/>
        <w:tblInd w:w="-86" w:type="dxa"/>
        <w:tblLayout w:type="autofit"/>
        <w:tblCellMar>
          <w:top w:w="122" w:type="dxa"/>
          <w:left w:w="107" w:type="dxa"/>
          <w:bottom w:w="0" w:type="dxa"/>
          <w:right w:w="0" w:type="dxa"/>
        </w:tblCellMar>
      </w:tblPr>
      <w:tblGrid>
        <w:gridCol w:w="496"/>
        <w:gridCol w:w="2306"/>
        <w:gridCol w:w="6439"/>
      </w:tblGrid>
      <w:tr w14:paraId="78140D97">
        <w:tblPrEx>
          <w:tblCellMar>
            <w:top w:w="122" w:type="dxa"/>
            <w:left w:w="107" w:type="dxa"/>
            <w:bottom w:w="0" w:type="dxa"/>
            <w:right w:w="0" w:type="dxa"/>
          </w:tblCellMar>
        </w:tblPrEx>
        <w:trPr>
          <w:trHeight w:val="483" w:hRule="atLeast"/>
        </w:trPr>
        <w:tc>
          <w:tcPr>
            <w:tcW w:w="496" w:type="dxa"/>
            <w:tcBorders>
              <w:top w:val="single" w:color="000000" w:sz="12" w:space="0"/>
              <w:left w:val="single" w:color="000000" w:sz="12" w:space="0"/>
              <w:bottom w:val="single" w:color="000000" w:sz="6" w:space="0"/>
              <w:right w:val="nil"/>
            </w:tcBorders>
          </w:tcPr>
          <w:p w14:paraId="358801FB">
            <w:pPr>
              <w:spacing w:after="160" w:line="259" w:lineRule="auto"/>
              <w:ind w:right="0" w:firstLine="0"/>
            </w:pPr>
          </w:p>
        </w:tc>
        <w:tc>
          <w:tcPr>
            <w:tcW w:w="2306" w:type="dxa"/>
            <w:tcBorders>
              <w:top w:val="single" w:color="000000" w:sz="12" w:space="0"/>
              <w:left w:val="nil"/>
              <w:bottom w:val="single" w:color="000000" w:sz="6" w:space="0"/>
              <w:right w:val="single" w:color="000000" w:sz="6" w:space="0"/>
            </w:tcBorders>
          </w:tcPr>
          <w:p w14:paraId="56BD4FA1">
            <w:pPr>
              <w:spacing w:after="0" w:line="259" w:lineRule="auto"/>
              <w:ind w:left="559" w:right="0" w:firstLine="0"/>
            </w:pPr>
            <w:r>
              <w:rPr>
                <w:rFonts w:ascii="宋体" w:hAnsi="宋体" w:eastAsia="宋体" w:cs="宋体"/>
                <w:sz w:val="24"/>
              </w:rPr>
              <w:t>要点</w:t>
            </w:r>
          </w:p>
        </w:tc>
        <w:tc>
          <w:tcPr>
            <w:tcW w:w="6439" w:type="dxa"/>
            <w:tcBorders>
              <w:top w:val="single" w:color="000000" w:sz="12" w:space="0"/>
              <w:left w:val="single" w:color="000000" w:sz="6" w:space="0"/>
              <w:bottom w:val="single" w:color="000000" w:sz="6" w:space="0"/>
              <w:right w:val="single" w:color="000000" w:sz="12" w:space="0"/>
            </w:tcBorders>
          </w:tcPr>
          <w:p w14:paraId="46E18243">
            <w:pPr>
              <w:spacing w:after="0" w:line="259" w:lineRule="auto"/>
              <w:ind w:right="107" w:firstLine="0"/>
              <w:jc w:val="center"/>
            </w:pPr>
            <w:r>
              <w:rPr>
                <w:rFonts w:ascii="宋体" w:hAnsi="宋体" w:eastAsia="宋体" w:cs="宋体"/>
                <w:sz w:val="24"/>
              </w:rPr>
              <w:t>内涵</w:t>
            </w:r>
          </w:p>
        </w:tc>
      </w:tr>
      <w:tr w14:paraId="25AE560F">
        <w:tblPrEx>
          <w:tblCellMar>
            <w:top w:w="122" w:type="dxa"/>
            <w:left w:w="107" w:type="dxa"/>
            <w:bottom w:w="0" w:type="dxa"/>
            <w:right w:w="0" w:type="dxa"/>
          </w:tblCellMar>
        </w:tblPrEx>
        <w:trPr>
          <w:trHeight w:val="2415" w:hRule="atLeast"/>
        </w:trPr>
        <w:tc>
          <w:tcPr>
            <w:tcW w:w="496" w:type="dxa"/>
            <w:tcBorders>
              <w:top w:val="single" w:color="000000" w:sz="6" w:space="0"/>
              <w:left w:val="single" w:color="000000" w:sz="12" w:space="0"/>
              <w:bottom w:val="single" w:color="000000" w:sz="6" w:space="0"/>
              <w:right w:val="single" w:color="000000" w:sz="12" w:space="0"/>
            </w:tcBorders>
            <w:vAlign w:val="center"/>
          </w:tcPr>
          <w:p w14:paraId="27802036">
            <w:pPr>
              <w:spacing w:after="0" w:line="259" w:lineRule="auto"/>
              <w:ind w:left="80" w:right="0" w:firstLine="0"/>
            </w:pPr>
            <w:r>
              <w:rPr>
                <w:rFonts w:ascii="宋体" w:hAnsi="宋体" w:eastAsia="宋体" w:cs="宋体"/>
                <w:sz w:val="24"/>
              </w:rPr>
              <w:t>1</w:t>
            </w:r>
          </w:p>
        </w:tc>
        <w:tc>
          <w:tcPr>
            <w:tcW w:w="2306" w:type="dxa"/>
            <w:tcBorders>
              <w:top w:val="single" w:color="000000" w:sz="6" w:space="0"/>
              <w:left w:val="single" w:color="000000" w:sz="12" w:space="0"/>
              <w:bottom w:val="single" w:color="000000" w:sz="6" w:space="0"/>
              <w:right w:val="single" w:color="000000" w:sz="6" w:space="0"/>
            </w:tcBorders>
            <w:vAlign w:val="center"/>
          </w:tcPr>
          <w:p w14:paraId="50BA32DB">
            <w:pPr>
              <w:spacing w:after="0" w:line="259" w:lineRule="auto"/>
              <w:ind w:left="206" w:right="0" w:firstLine="0"/>
            </w:pPr>
            <w:r>
              <w:rPr>
                <w:rFonts w:ascii="宋体" w:hAnsi="宋体" w:eastAsia="宋体" w:cs="宋体"/>
                <w:sz w:val="24"/>
              </w:rPr>
              <w:t>有明确创新目标</w:t>
            </w:r>
          </w:p>
        </w:tc>
        <w:tc>
          <w:tcPr>
            <w:tcW w:w="6439" w:type="dxa"/>
            <w:tcBorders>
              <w:top w:val="single" w:color="000000" w:sz="6" w:space="0"/>
              <w:left w:val="single" w:color="000000" w:sz="6" w:space="0"/>
              <w:bottom w:val="single" w:color="000000" w:sz="6" w:space="0"/>
              <w:right w:val="single" w:color="000000" w:sz="12" w:space="0"/>
            </w:tcBorders>
          </w:tcPr>
          <w:p w14:paraId="53AC1D10">
            <w:pPr>
              <w:spacing w:after="2" w:line="306" w:lineRule="auto"/>
              <w:ind w:right="-11" w:firstLine="0"/>
            </w:pPr>
            <w:r>
              <w:rPr>
                <w:rFonts w:ascii="宋体" w:hAnsi="宋体" w:eastAsia="宋体" w:cs="宋体"/>
                <w:sz w:val="24"/>
              </w:rPr>
              <w:t>研发活动一般具有明确的创新目标，如获得新知识、新技术、新工艺、新材料、新产品、新标准等。</w:t>
            </w:r>
          </w:p>
          <w:p w14:paraId="43079491">
            <w:pPr>
              <w:spacing w:after="0" w:line="259" w:lineRule="auto"/>
              <w:ind w:right="0" w:firstLine="0"/>
            </w:pPr>
            <w:r>
              <w:rPr>
                <w:rFonts w:ascii="宋体" w:hAnsi="宋体" w:eastAsia="宋体" w:cs="宋体"/>
                <w:sz w:val="24"/>
              </w:rPr>
              <w:t>可通过以下问题予以明确。例如，该活动是否要探索以前未发现的现象、结构或关系？是否在一定范围要突破现有的技术瓶颈？研发成果是否不可预期？如果回答为“是”，则说明该活动具有明确的创新目标。</w:t>
            </w:r>
          </w:p>
        </w:tc>
      </w:tr>
      <w:tr w14:paraId="42D8BA20">
        <w:tblPrEx>
          <w:tblCellMar>
            <w:top w:w="122" w:type="dxa"/>
            <w:left w:w="107" w:type="dxa"/>
            <w:bottom w:w="0" w:type="dxa"/>
            <w:right w:w="0" w:type="dxa"/>
          </w:tblCellMar>
        </w:tblPrEx>
        <w:trPr>
          <w:trHeight w:val="1215" w:hRule="atLeast"/>
        </w:trPr>
        <w:tc>
          <w:tcPr>
            <w:tcW w:w="496" w:type="dxa"/>
            <w:tcBorders>
              <w:top w:val="single" w:color="000000" w:sz="6" w:space="0"/>
              <w:left w:val="single" w:color="000000" w:sz="12" w:space="0"/>
              <w:bottom w:val="single" w:color="000000" w:sz="6" w:space="0"/>
              <w:right w:val="single" w:color="000000" w:sz="12" w:space="0"/>
            </w:tcBorders>
            <w:vAlign w:val="center"/>
          </w:tcPr>
          <w:p w14:paraId="357BCD0E">
            <w:pPr>
              <w:spacing w:after="0" w:line="259" w:lineRule="auto"/>
              <w:ind w:left="80" w:right="0" w:firstLine="0"/>
            </w:pPr>
            <w:r>
              <w:rPr>
                <w:rFonts w:ascii="宋体" w:hAnsi="宋体" w:eastAsia="宋体" w:cs="宋体"/>
                <w:sz w:val="24"/>
              </w:rPr>
              <w:t>2</w:t>
            </w:r>
          </w:p>
        </w:tc>
        <w:tc>
          <w:tcPr>
            <w:tcW w:w="2306" w:type="dxa"/>
            <w:tcBorders>
              <w:top w:val="single" w:color="000000" w:sz="6" w:space="0"/>
              <w:left w:val="single" w:color="000000" w:sz="12" w:space="0"/>
              <w:bottom w:val="single" w:color="000000" w:sz="6" w:space="0"/>
              <w:right w:val="single" w:color="000000" w:sz="6" w:space="0"/>
            </w:tcBorders>
            <w:vAlign w:val="center"/>
          </w:tcPr>
          <w:p w14:paraId="2FD850E5">
            <w:pPr>
              <w:spacing w:after="0" w:line="259" w:lineRule="auto"/>
              <w:ind w:left="206" w:right="0" w:firstLine="0"/>
            </w:pPr>
            <w:r>
              <w:rPr>
                <w:rFonts w:ascii="宋体" w:hAnsi="宋体" w:eastAsia="宋体" w:cs="宋体"/>
                <w:sz w:val="24"/>
              </w:rPr>
              <w:t>有系统组织形式</w:t>
            </w:r>
          </w:p>
        </w:tc>
        <w:tc>
          <w:tcPr>
            <w:tcW w:w="6439" w:type="dxa"/>
            <w:tcBorders>
              <w:top w:val="single" w:color="000000" w:sz="6" w:space="0"/>
              <w:left w:val="single" w:color="000000" w:sz="6" w:space="0"/>
              <w:bottom w:val="single" w:color="000000" w:sz="6" w:space="0"/>
              <w:right w:val="single" w:color="000000" w:sz="12" w:space="0"/>
            </w:tcBorders>
          </w:tcPr>
          <w:p w14:paraId="4F80B168">
            <w:pPr>
              <w:spacing w:after="0" w:line="259" w:lineRule="auto"/>
              <w:ind w:right="0" w:firstLine="0"/>
            </w:pPr>
            <w:r>
              <w:rPr>
                <w:rFonts w:ascii="宋体" w:hAnsi="宋体" w:eastAsia="宋体" w:cs="宋体"/>
                <w:sz w:val="24"/>
              </w:rPr>
              <w:t>研发活动以项目、课题等方式组织进行，围绕具体目标，有较为确定的人、财、物等支持，经过立项、实施、结题的组织过程，因此是有边界的和可度量的。</w:t>
            </w:r>
          </w:p>
        </w:tc>
      </w:tr>
      <w:tr w14:paraId="4BBA1FC1">
        <w:tblPrEx>
          <w:tblCellMar>
            <w:top w:w="122" w:type="dxa"/>
            <w:left w:w="107" w:type="dxa"/>
            <w:bottom w:w="0" w:type="dxa"/>
            <w:right w:w="0" w:type="dxa"/>
          </w:tblCellMar>
        </w:tblPrEx>
        <w:trPr>
          <w:trHeight w:val="997" w:hRule="atLeast"/>
        </w:trPr>
        <w:tc>
          <w:tcPr>
            <w:tcW w:w="496" w:type="dxa"/>
            <w:tcBorders>
              <w:top w:val="single" w:color="000000" w:sz="6" w:space="0"/>
              <w:left w:val="single" w:color="000000" w:sz="12" w:space="0"/>
              <w:bottom w:val="single" w:color="000000" w:sz="12" w:space="0"/>
              <w:right w:val="single" w:color="000000" w:sz="12" w:space="0"/>
            </w:tcBorders>
            <w:vAlign w:val="center"/>
          </w:tcPr>
          <w:p w14:paraId="07D19F4F">
            <w:pPr>
              <w:spacing w:after="0" w:line="259" w:lineRule="auto"/>
              <w:ind w:left="80" w:right="0" w:firstLine="0"/>
            </w:pPr>
            <w:r>
              <w:rPr>
                <w:rFonts w:ascii="宋体" w:hAnsi="宋体" w:eastAsia="宋体" w:cs="宋体"/>
                <w:sz w:val="24"/>
              </w:rPr>
              <w:t>3</w:t>
            </w:r>
          </w:p>
        </w:tc>
        <w:tc>
          <w:tcPr>
            <w:tcW w:w="2306" w:type="dxa"/>
            <w:tcBorders>
              <w:top w:val="single" w:color="000000" w:sz="6" w:space="0"/>
              <w:left w:val="single" w:color="000000" w:sz="12" w:space="0"/>
              <w:bottom w:val="single" w:color="000000" w:sz="12" w:space="0"/>
              <w:right w:val="single" w:color="000000" w:sz="6" w:space="0"/>
            </w:tcBorders>
            <w:vAlign w:val="center"/>
          </w:tcPr>
          <w:p w14:paraId="7D991345">
            <w:pPr>
              <w:spacing w:after="0" w:line="259" w:lineRule="auto"/>
              <w:ind w:left="206" w:right="0" w:firstLine="0"/>
            </w:pPr>
            <w:r>
              <w:rPr>
                <w:rFonts w:ascii="宋体" w:hAnsi="宋体" w:eastAsia="宋体" w:cs="宋体"/>
                <w:sz w:val="24"/>
              </w:rPr>
              <w:t>研发结果不确定</w:t>
            </w:r>
          </w:p>
        </w:tc>
        <w:tc>
          <w:tcPr>
            <w:tcW w:w="6439" w:type="dxa"/>
            <w:tcBorders>
              <w:top w:val="single" w:color="000000" w:sz="6" w:space="0"/>
              <w:left w:val="single" w:color="000000" w:sz="6" w:space="0"/>
              <w:bottom w:val="single" w:color="000000" w:sz="12" w:space="0"/>
              <w:right w:val="single" w:color="000000" w:sz="12" w:space="0"/>
            </w:tcBorders>
            <w:vAlign w:val="center"/>
          </w:tcPr>
          <w:p w14:paraId="58FFFF10">
            <w:pPr>
              <w:spacing w:after="0" w:line="259" w:lineRule="auto"/>
              <w:ind w:right="0" w:firstLine="0"/>
            </w:pPr>
            <w:r>
              <w:rPr>
                <w:rFonts w:ascii="宋体" w:hAnsi="宋体" w:eastAsia="宋体" w:cs="宋体"/>
                <w:sz w:val="24"/>
              </w:rPr>
              <w:t>研发活动的结果是不能完全事先预期的，必须经过反复不断的试验、测试，具有较大的不确定性，存在失败的可能。</w:t>
            </w:r>
          </w:p>
        </w:tc>
      </w:tr>
    </w:tbl>
    <w:p w14:paraId="46F9C901">
      <w:pPr>
        <w:pStyle w:val="3"/>
        <w:ind w:left="554"/>
      </w:pPr>
      <w:bookmarkStart w:id="7" w:name="_Toc30233"/>
      <w:r>
        <w:t>（三）不适用加计扣除政策的活动</w:t>
      </w:r>
      <w:bookmarkEnd w:id="7"/>
    </w:p>
    <w:p w14:paraId="46419973">
      <w:pPr>
        <w:ind w:left="-15" w:right="0"/>
      </w:pPr>
      <w:r>
        <w:t>为提高政策的精准性、可操作性，财税〔2015〕119号文明确以下活动不适用加计扣除政策：</w:t>
      </w:r>
    </w:p>
    <w:p w14:paraId="373AB005">
      <w:pPr>
        <w:spacing w:after="85" w:line="259" w:lineRule="auto"/>
        <w:ind w:left="559" w:right="0" w:firstLine="0"/>
      </w:pPr>
      <w:r>
        <w:t>1.企业产品（服务）的常规性升级；</w:t>
      </w:r>
    </w:p>
    <w:p w14:paraId="618DAE55">
      <w:pPr>
        <w:ind w:left="-15" w:right="0"/>
      </w:pPr>
      <w:r>
        <w:t>2.对某项科研成果的直接应用，如直接采用公开的新工艺、材料、装置、产品、服务或知识等；</w:t>
      </w:r>
    </w:p>
    <w:p w14:paraId="6D87494D">
      <w:pPr>
        <w:spacing w:after="85" w:line="259" w:lineRule="auto"/>
        <w:ind w:left="559" w:right="0" w:firstLine="0"/>
      </w:pPr>
      <w:r>
        <w:t>3.企业在商品化后为顾客提供的技术支持活动；</w:t>
      </w:r>
    </w:p>
    <w:p w14:paraId="15F999DD">
      <w:pPr>
        <w:spacing w:after="85" w:line="259" w:lineRule="auto"/>
        <w:ind w:left="559" w:right="0" w:firstLine="0"/>
      </w:pPr>
      <w:r>
        <w:t>4.对现存产品、服务、技术、材料或工艺流程进行的重复或简单改变；</w:t>
      </w:r>
    </w:p>
    <w:p w14:paraId="689B2A4C">
      <w:pPr>
        <w:spacing w:after="85" w:line="259" w:lineRule="auto"/>
        <w:ind w:left="559" w:right="0" w:firstLine="0"/>
      </w:pPr>
      <w:r>
        <w:t>5.市场调查研究、效率调查或管理研究；</w:t>
      </w:r>
    </w:p>
    <w:p w14:paraId="5C5C60FD">
      <w:pPr>
        <w:ind w:left="-15" w:right="0"/>
      </w:pPr>
      <w:r>
        <w:t>6.作为工业（服务）流程环节或常规的质量控制、测试分析、维修维护；</w:t>
      </w:r>
    </w:p>
    <w:p w14:paraId="0A8F6D78">
      <w:pPr>
        <w:spacing w:after="85" w:line="259" w:lineRule="auto"/>
        <w:ind w:left="559" w:right="0" w:firstLine="0"/>
      </w:pPr>
      <w:r>
        <w:t>7.社会科学、艺术或人文学方面的研究。</w:t>
      </w:r>
    </w:p>
    <w:p w14:paraId="05BD215B">
      <w:pPr>
        <w:spacing w:after="265" w:line="259" w:lineRule="auto"/>
        <w:ind w:left="559" w:right="0" w:firstLine="0"/>
      </w:pPr>
      <w:r>
        <w:t>其中，1至6类活动虽与研发活动有密切关系，但都不属于研发活动。</w:t>
      </w:r>
    </w:p>
    <w:p w14:paraId="22CF1EA2">
      <w:pPr>
        <w:pStyle w:val="3"/>
        <w:spacing w:after="265"/>
        <w:ind w:left="559" w:firstLine="0"/>
      </w:pPr>
      <w:bookmarkStart w:id="8" w:name="_Toc30234"/>
      <w:r>
        <w:t>（四）研发活动判断的边界与说明</w:t>
      </w:r>
      <w:bookmarkEnd w:id="8"/>
    </w:p>
    <w:p w14:paraId="5C244944">
      <w:pPr>
        <w:spacing w:after="277"/>
        <w:ind w:left="-15" w:right="0"/>
      </w:pPr>
      <w:r>
        <w:t>在某些情况下，研发活动与生产活动、科技活动等较难区分，有时甚至同时进行。根据财税〔2015〕119号和《弗拉斯卡蒂（Frascati）手册》对研发活动的界定，下面进一步说明研发活动的边界。</w:t>
      </w:r>
    </w:p>
    <w:p w14:paraId="1984966C">
      <w:pPr>
        <w:spacing w:after="483"/>
        <w:ind w:left="559" w:right="0" w:firstLine="0"/>
      </w:pPr>
      <w:r>
        <w:t>1.研发活动与其他产业活动之间的边界说明（见表4）</w:t>
      </w:r>
    </w:p>
    <w:p w14:paraId="550DE966">
      <w:pPr>
        <w:spacing w:line="259" w:lineRule="auto"/>
        <w:ind w:left="430" w:right="554" w:hanging="10"/>
        <w:jc w:val="center"/>
      </w:pPr>
      <w:r>
        <w:rPr>
          <w:rFonts w:ascii="黑体" w:hAnsi="黑体" w:eastAsia="黑体" w:cs="黑体"/>
        </w:rPr>
        <w:t>表4 研发活动（</w:t>
      </w:r>
      <w:r>
        <w:rPr>
          <w:rFonts w:ascii="黑体" w:hAnsi="黑体" w:eastAsia="黑体" w:cs="黑体"/>
          <w:sz w:val="24"/>
        </w:rPr>
        <w:t>R&amp;D</w:t>
      </w:r>
      <w:r>
        <w:rPr>
          <w:rFonts w:ascii="黑体" w:hAnsi="黑体" w:eastAsia="黑体" w:cs="黑体"/>
        </w:rPr>
        <w:t>）与其他产业活动之间的边界说明</w:t>
      </w:r>
    </w:p>
    <w:tbl>
      <w:tblPr>
        <w:tblStyle w:val="11"/>
        <w:tblW w:w="9284" w:type="dxa"/>
        <w:tblInd w:w="-108" w:type="dxa"/>
        <w:tblLayout w:type="autofit"/>
        <w:tblCellMar>
          <w:top w:w="119" w:type="dxa"/>
          <w:left w:w="108" w:type="dxa"/>
          <w:bottom w:w="0" w:type="dxa"/>
          <w:right w:w="106" w:type="dxa"/>
        </w:tblCellMar>
      </w:tblPr>
      <w:tblGrid>
        <w:gridCol w:w="2719"/>
        <w:gridCol w:w="1642"/>
        <w:gridCol w:w="4923"/>
      </w:tblGrid>
      <w:tr w14:paraId="0E7CFF33">
        <w:tblPrEx>
          <w:tblCellMar>
            <w:top w:w="119" w:type="dxa"/>
            <w:left w:w="108" w:type="dxa"/>
            <w:bottom w:w="0" w:type="dxa"/>
            <w:right w:w="106" w:type="dxa"/>
          </w:tblCellMar>
        </w:tblPrEx>
        <w:trPr>
          <w:trHeight w:val="410" w:hRule="atLeast"/>
        </w:trPr>
        <w:tc>
          <w:tcPr>
            <w:tcW w:w="2719" w:type="dxa"/>
            <w:tcBorders>
              <w:top w:val="single" w:color="000000" w:sz="4" w:space="0"/>
              <w:left w:val="single" w:color="000000" w:sz="4" w:space="0"/>
              <w:bottom w:val="single" w:color="000000" w:sz="4" w:space="0"/>
              <w:right w:val="single" w:color="000000" w:sz="4" w:space="0"/>
            </w:tcBorders>
          </w:tcPr>
          <w:p w14:paraId="4A0CFF5D">
            <w:pPr>
              <w:spacing w:after="0" w:line="259" w:lineRule="auto"/>
              <w:ind w:right="4" w:firstLine="0"/>
              <w:jc w:val="center"/>
            </w:pPr>
            <w:r>
              <w:rPr>
                <w:rFonts w:ascii="宋体" w:hAnsi="宋体" w:eastAsia="宋体" w:cs="宋体"/>
                <w:sz w:val="24"/>
              </w:rPr>
              <w:t>项目</w:t>
            </w:r>
          </w:p>
        </w:tc>
        <w:tc>
          <w:tcPr>
            <w:tcW w:w="1642" w:type="dxa"/>
            <w:tcBorders>
              <w:top w:val="single" w:color="000000" w:sz="4" w:space="0"/>
              <w:left w:val="single" w:color="000000" w:sz="4" w:space="0"/>
              <w:bottom w:val="single" w:color="000000" w:sz="4" w:space="0"/>
              <w:right w:val="single" w:color="000000" w:sz="4" w:space="0"/>
            </w:tcBorders>
          </w:tcPr>
          <w:p w14:paraId="20B757D6">
            <w:pPr>
              <w:spacing w:after="0" w:line="259" w:lineRule="auto"/>
              <w:ind w:left="233" w:right="0" w:firstLine="0"/>
            </w:pPr>
            <w:r>
              <w:rPr>
                <w:rFonts w:ascii="宋体" w:hAnsi="宋体" w:eastAsia="宋体" w:cs="宋体"/>
                <w:sz w:val="24"/>
              </w:rPr>
              <w:t>处理方式</w:t>
            </w:r>
          </w:p>
        </w:tc>
        <w:tc>
          <w:tcPr>
            <w:tcW w:w="4923" w:type="dxa"/>
            <w:tcBorders>
              <w:top w:val="single" w:color="000000" w:sz="4" w:space="0"/>
              <w:left w:val="single" w:color="000000" w:sz="4" w:space="0"/>
              <w:bottom w:val="single" w:color="000000" w:sz="4" w:space="0"/>
              <w:right w:val="single" w:color="000000" w:sz="4" w:space="0"/>
            </w:tcBorders>
          </w:tcPr>
          <w:p w14:paraId="44F8DD28">
            <w:pPr>
              <w:spacing w:after="0" w:line="259" w:lineRule="auto"/>
              <w:ind w:right="5" w:firstLine="0"/>
              <w:jc w:val="center"/>
            </w:pPr>
            <w:r>
              <w:rPr>
                <w:rFonts w:ascii="宋体" w:hAnsi="宋体" w:eastAsia="宋体" w:cs="宋体"/>
                <w:sz w:val="24"/>
              </w:rPr>
              <w:t>备注</w:t>
            </w:r>
          </w:p>
        </w:tc>
      </w:tr>
      <w:tr w14:paraId="69A28343">
        <w:tblPrEx>
          <w:tblCellMar>
            <w:top w:w="119" w:type="dxa"/>
            <w:left w:w="108" w:type="dxa"/>
            <w:bottom w:w="0" w:type="dxa"/>
            <w:right w:w="106" w:type="dxa"/>
          </w:tblCellMar>
        </w:tblPrEx>
        <w:trPr>
          <w:trHeight w:val="1210" w:hRule="atLeast"/>
        </w:trPr>
        <w:tc>
          <w:tcPr>
            <w:tcW w:w="2719" w:type="dxa"/>
            <w:tcBorders>
              <w:top w:val="single" w:color="000000" w:sz="4" w:space="0"/>
              <w:left w:val="single" w:color="000000" w:sz="4" w:space="0"/>
              <w:bottom w:val="single" w:color="000000" w:sz="4" w:space="0"/>
              <w:right w:val="single" w:color="000000" w:sz="4" w:space="0"/>
            </w:tcBorders>
          </w:tcPr>
          <w:p w14:paraId="711924E1">
            <w:pPr>
              <w:spacing w:after="0" w:line="259" w:lineRule="auto"/>
              <w:ind w:right="0" w:firstLine="0"/>
            </w:pPr>
            <w:r>
              <w:rPr>
                <w:rFonts w:ascii="宋体" w:hAnsi="宋体" w:eastAsia="宋体" w:cs="宋体"/>
                <w:sz w:val="24"/>
              </w:rPr>
              <w:t>原型</w:t>
            </w:r>
          </w:p>
        </w:tc>
        <w:tc>
          <w:tcPr>
            <w:tcW w:w="1642" w:type="dxa"/>
            <w:tcBorders>
              <w:top w:val="single" w:color="000000" w:sz="4" w:space="0"/>
              <w:left w:val="single" w:color="000000" w:sz="4" w:space="0"/>
              <w:bottom w:val="single" w:color="000000" w:sz="4" w:space="0"/>
              <w:right w:val="single" w:color="000000" w:sz="4" w:space="0"/>
            </w:tcBorders>
          </w:tcPr>
          <w:p w14:paraId="1A0AC64A">
            <w:pPr>
              <w:spacing w:after="0" w:line="259" w:lineRule="auto"/>
              <w:ind w:right="0" w:firstLine="0"/>
            </w:pPr>
            <w:r>
              <w:rPr>
                <w:rFonts w:ascii="宋体" w:hAnsi="宋体" w:eastAsia="宋体" w:cs="宋体"/>
                <w:sz w:val="24"/>
              </w:rPr>
              <w:t>计入R&amp;D</w:t>
            </w:r>
          </w:p>
        </w:tc>
        <w:tc>
          <w:tcPr>
            <w:tcW w:w="4923" w:type="dxa"/>
            <w:tcBorders>
              <w:top w:val="single" w:color="000000" w:sz="4" w:space="0"/>
              <w:left w:val="single" w:color="000000" w:sz="4" w:space="0"/>
              <w:bottom w:val="single" w:color="000000" w:sz="4" w:space="0"/>
              <w:right w:val="single" w:color="000000" w:sz="4" w:space="0"/>
            </w:tcBorders>
          </w:tcPr>
          <w:p w14:paraId="7EBCD6D1">
            <w:pPr>
              <w:spacing w:after="0" w:line="259" w:lineRule="auto"/>
              <w:ind w:right="0" w:firstLine="0"/>
            </w:pPr>
            <w:r>
              <w:rPr>
                <w:rFonts w:ascii="宋体" w:hAnsi="宋体" w:eastAsia="宋体" w:cs="宋体"/>
                <w:color w:val="FF0000"/>
                <w:sz w:val="24"/>
              </w:rPr>
              <w:t>原型</w:t>
            </w:r>
            <w:r>
              <w:rPr>
                <w:rFonts w:ascii="宋体" w:hAnsi="宋体" w:eastAsia="宋体" w:cs="宋体"/>
                <w:sz w:val="24"/>
              </w:rPr>
              <w:t>的设计、制造和测试都属于研发活动；但为了进行批量生产而试生产的</w:t>
            </w:r>
            <w:r>
              <w:rPr>
                <w:rFonts w:ascii="宋体" w:hAnsi="宋体" w:eastAsia="宋体" w:cs="宋体"/>
                <w:b/>
                <w:bCs/>
                <w:color w:val="FF0000"/>
                <w:sz w:val="24"/>
              </w:rPr>
              <w:t>首批</w:t>
            </w:r>
            <w:r>
              <w:rPr>
                <w:rFonts w:ascii="宋体" w:hAnsi="宋体" w:eastAsia="宋体" w:cs="宋体"/>
                <w:color w:val="FF0000"/>
                <w:sz w:val="24"/>
              </w:rPr>
              <w:t>产品</w:t>
            </w:r>
            <w:r>
              <w:rPr>
                <w:rFonts w:ascii="宋体" w:hAnsi="宋体" w:eastAsia="宋体" w:cs="宋体"/>
                <w:sz w:val="24"/>
              </w:rPr>
              <w:t>不是原型，其制造不属于研发活动</w:t>
            </w:r>
          </w:p>
        </w:tc>
      </w:tr>
      <w:tr w14:paraId="160BE816">
        <w:tblPrEx>
          <w:tblCellMar>
            <w:top w:w="119" w:type="dxa"/>
            <w:left w:w="108" w:type="dxa"/>
            <w:bottom w:w="0" w:type="dxa"/>
            <w:right w:w="106" w:type="dxa"/>
          </w:tblCellMar>
        </w:tblPrEx>
        <w:trPr>
          <w:trHeight w:val="810" w:hRule="atLeast"/>
        </w:trPr>
        <w:tc>
          <w:tcPr>
            <w:tcW w:w="2719" w:type="dxa"/>
            <w:tcBorders>
              <w:top w:val="single" w:color="000000" w:sz="4" w:space="0"/>
              <w:left w:val="single" w:color="000000" w:sz="4" w:space="0"/>
              <w:bottom w:val="single" w:color="000000" w:sz="4" w:space="0"/>
              <w:right w:val="single" w:color="000000" w:sz="4" w:space="0"/>
            </w:tcBorders>
          </w:tcPr>
          <w:p w14:paraId="0D339FBA">
            <w:pPr>
              <w:spacing w:after="0" w:line="259" w:lineRule="auto"/>
              <w:ind w:right="0" w:firstLine="0"/>
            </w:pPr>
            <w:r>
              <w:rPr>
                <w:rFonts w:ascii="宋体" w:hAnsi="宋体" w:eastAsia="宋体" w:cs="宋体"/>
                <w:sz w:val="24"/>
              </w:rPr>
              <w:t>小试</w:t>
            </w:r>
          </w:p>
        </w:tc>
        <w:tc>
          <w:tcPr>
            <w:tcW w:w="1642" w:type="dxa"/>
            <w:tcBorders>
              <w:top w:val="single" w:color="000000" w:sz="4" w:space="0"/>
              <w:left w:val="single" w:color="000000" w:sz="4" w:space="0"/>
              <w:bottom w:val="single" w:color="000000" w:sz="4" w:space="0"/>
              <w:right w:val="single" w:color="000000" w:sz="4" w:space="0"/>
            </w:tcBorders>
          </w:tcPr>
          <w:p w14:paraId="0D9047E6">
            <w:pPr>
              <w:spacing w:after="0" w:line="259" w:lineRule="auto"/>
              <w:ind w:right="0" w:firstLine="0"/>
            </w:pPr>
            <w:r>
              <w:rPr>
                <w:rFonts w:ascii="宋体" w:hAnsi="宋体" w:eastAsia="宋体" w:cs="宋体"/>
                <w:sz w:val="24"/>
              </w:rPr>
              <w:t>计入R&amp;D</w:t>
            </w:r>
          </w:p>
        </w:tc>
        <w:tc>
          <w:tcPr>
            <w:tcW w:w="4923" w:type="dxa"/>
            <w:tcBorders>
              <w:top w:val="single" w:color="000000" w:sz="4" w:space="0"/>
              <w:left w:val="single" w:color="000000" w:sz="4" w:space="0"/>
              <w:bottom w:val="single" w:color="000000" w:sz="4" w:space="0"/>
              <w:right w:val="single" w:color="000000" w:sz="4" w:space="0"/>
            </w:tcBorders>
          </w:tcPr>
          <w:p w14:paraId="02314579">
            <w:pPr>
              <w:spacing w:after="0" w:line="259" w:lineRule="auto"/>
              <w:ind w:right="0" w:firstLine="0"/>
            </w:pPr>
            <w:r>
              <w:rPr>
                <w:rFonts w:ascii="宋体" w:hAnsi="宋体" w:eastAsia="宋体" w:cs="宋体"/>
                <w:sz w:val="24"/>
              </w:rPr>
              <w:t>为了验证新产品、新工艺等能否正常运行的研发活动</w:t>
            </w:r>
          </w:p>
        </w:tc>
      </w:tr>
      <w:tr w14:paraId="20F4155E">
        <w:tblPrEx>
          <w:tblCellMar>
            <w:top w:w="119" w:type="dxa"/>
            <w:left w:w="108" w:type="dxa"/>
            <w:bottom w:w="0" w:type="dxa"/>
            <w:right w:w="106" w:type="dxa"/>
          </w:tblCellMar>
        </w:tblPrEx>
        <w:trPr>
          <w:trHeight w:val="810" w:hRule="atLeast"/>
        </w:trPr>
        <w:tc>
          <w:tcPr>
            <w:tcW w:w="2719" w:type="dxa"/>
            <w:tcBorders>
              <w:top w:val="single" w:color="000000" w:sz="4" w:space="0"/>
              <w:left w:val="single" w:color="000000" w:sz="4" w:space="0"/>
              <w:bottom w:val="single" w:color="000000" w:sz="4" w:space="0"/>
              <w:right w:val="single" w:color="000000" w:sz="4" w:space="0"/>
            </w:tcBorders>
          </w:tcPr>
          <w:p w14:paraId="23F02A5C">
            <w:pPr>
              <w:spacing w:after="0" w:line="259" w:lineRule="auto"/>
              <w:ind w:right="0" w:firstLine="0"/>
            </w:pPr>
            <w:r>
              <w:rPr>
                <w:rFonts w:ascii="宋体" w:hAnsi="宋体" w:eastAsia="宋体" w:cs="宋体"/>
                <w:sz w:val="24"/>
              </w:rPr>
              <w:t>中试</w:t>
            </w:r>
          </w:p>
        </w:tc>
        <w:tc>
          <w:tcPr>
            <w:tcW w:w="1642" w:type="dxa"/>
            <w:tcBorders>
              <w:top w:val="single" w:color="000000" w:sz="4" w:space="0"/>
              <w:left w:val="single" w:color="000000" w:sz="4" w:space="0"/>
              <w:bottom w:val="single" w:color="000000" w:sz="4" w:space="0"/>
              <w:right w:val="single" w:color="000000" w:sz="4" w:space="0"/>
            </w:tcBorders>
          </w:tcPr>
          <w:p w14:paraId="609FE48E">
            <w:pPr>
              <w:spacing w:after="0" w:line="259" w:lineRule="auto"/>
              <w:ind w:right="0" w:firstLine="0"/>
            </w:pPr>
            <w:r>
              <w:rPr>
                <w:rFonts w:ascii="宋体" w:hAnsi="宋体" w:eastAsia="宋体" w:cs="宋体"/>
                <w:sz w:val="24"/>
              </w:rPr>
              <w:t>计入R&amp;D</w:t>
            </w:r>
          </w:p>
        </w:tc>
        <w:tc>
          <w:tcPr>
            <w:tcW w:w="4923" w:type="dxa"/>
            <w:tcBorders>
              <w:top w:val="single" w:color="000000" w:sz="4" w:space="0"/>
              <w:left w:val="single" w:color="000000" w:sz="4" w:space="0"/>
              <w:bottom w:val="single" w:color="000000" w:sz="4" w:space="0"/>
              <w:right w:val="single" w:color="000000" w:sz="4" w:space="0"/>
            </w:tcBorders>
          </w:tcPr>
          <w:p w14:paraId="69ECA304">
            <w:pPr>
              <w:spacing w:after="0" w:line="259" w:lineRule="auto"/>
              <w:ind w:right="0" w:firstLine="0"/>
            </w:pPr>
            <w:r>
              <w:rPr>
                <w:rFonts w:ascii="宋体" w:hAnsi="宋体" w:eastAsia="宋体" w:cs="宋体"/>
                <w:sz w:val="24"/>
              </w:rPr>
              <w:t>为了验证新产品、新工艺等在大规模投产前能否正常运行的研发活动</w:t>
            </w:r>
          </w:p>
        </w:tc>
      </w:tr>
      <w:tr w14:paraId="4FB18958">
        <w:tblPrEx>
          <w:tblCellMar>
            <w:top w:w="119" w:type="dxa"/>
            <w:left w:w="108" w:type="dxa"/>
            <w:bottom w:w="0" w:type="dxa"/>
            <w:right w:w="106" w:type="dxa"/>
          </w:tblCellMar>
        </w:tblPrEx>
        <w:trPr>
          <w:trHeight w:val="2410" w:hRule="atLeast"/>
        </w:trPr>
        <w:tc>
          <w:tcPr>
            <w:tcW w:w="2719" w:type="dxa"/>
            <w:tcBorders>
              <w:top w:val="single" w:color="000000" w:sz="4" w:space="0"/>
              <w:left w:val="single" w:color="000000" w:sz="4" w:space="0"/>
              <w:bottom w:val="single" w:color="000000" w:sz="4" w:space="0"/>
              <w:right w:val="single" w:color="000000" w:sz="4" w:space="0"/>
            </w:tcBorders>
          </w:tcPr>
          <w:p w14:paraId="44F29071">
            <w:pPr>
              <w:spacing w:after="0" w:line="259" w:lineRule="auto"/>
              <w:ind w:right="0" w:firstLine="0"/>
              <w:jc w:val="both"/>
            </w:pPr>
            <w:r>
              <w:rPr>
                <w:rFonts w:ascii="宋体" w:hAnsi="宋体" w:eastAsia="宋体" w:cs="宋体"/>
                <w:sz w:val="24"/>
              </w:rPr>
              <w:t>中试工厂（中试设施）</w:t>
            </w:r>
          </w:p>
        </w:tc>
        <w:tc>
          <w:tcPr>
            <w:tcW w:w="1642" w:type="dxa"/>
            <w:tcBorders>
              <w:top w:val="single" w:color="000000" w:sz="4" w:space="0"/>
              <w:left w:val="single" w:color="000000" w:sz="4" w:space="0"/>
              <w:bottom w:val="single" w:color="000000" w:sz="4" w:space="0"/>
              <w:right w:val="single" w:color="000000" w:sz="4" w:space="0"/>
            </w:tcBorders>
          </w:tcPr>
          <w:p w14:paraId="1C0E7068">
            <w:pPr>
              <w:spacing w:after="0" w:line="259" w:lineRule="auto"/>
              <w:ind w:right="0" w:firstLine="0"/>
            </w:pPr>
            <w:r>
              <w:rPr>
                <w:rFonts w:ascii="宋体" w:hAnsi="宋体" w:eastAsia="宋体" w:cs="宋体"/>
                <w:sz w:val="24"/>
              </w:rPr>
              <w:t>区别对待</w:t>
            </w:r>
          </w:p>
        </w:tc>
        <w:tc>
          <w:tcPr>
            <w:tcW w:w="4923" w:type="dxa"/>
            <w:tcBorders>
              <w:top w:val="single" w:color="000000" w:sz="4" w:space="0"/>
              <w:left w:val="single" w:color="000000" w:sz="4" w:space="0"/>
              <w:bottom w:val="single" w:color="000000" w:sz="4" w:space="0"/>
              <w:right w:val="single" w:color="000000" w:sz="4" w:space="0"/>
            </w:tcBorders>
          </w:tcPr>
          <w:p w14:paraId="6AE235A3">
            <w:pPr>
              <w:spacing w:after="0" w:line="259" w:lineRule="auto"/>
              <w:ind w:right="0" w:firstLine="0"/>
            </w:pPr>
            <w:r>
              <w:rPr>
                <w:rFonts w:ascii="宋体" w:hAnsi="宋体" w:eastAsia="宋体" w:cs="宋体"/>
                <w:sz w:val="24"/>
              </w:rPr>
              <w:t>主要目的是研发活动，其建造与运行则属于研发活动，包括为了对假设进行评估、编写新产品方案、确定新成品规则、设计新工艺所需要的专用设备和建筑物、编制工艺操作说明书或手册等搜集数据，或者获得经验；否则，不属于研发活动</w:t>
            </w:r>
          </w:p>
        </w:tc>
      </w:tr>
      <w:tr w14:paraId="7DA28A8A">
        <w:tblPrEx>
          <w:tblCellMar>
            <w:top w:w="119" w:type="dxa"/>
            <w:left w:w="108" w:type="dxa"/>
            <w:bottom w:w="0" w:type="dxa"/>
            <w:right w:w="106" w:type="dxa"/>
          </w:tblCellMar>
        </w:tblPrEx>
        <w:trPr>
          <w:trHeight w:val="1210" w:hRule="atLeast"/>
        </w:trPr>
        <w:tc>
          <w:tcPr>
            <w:tcW w:w="2719" w:type="dxa"/>
            <w:tcBorders>
              <w:top w:val="single" w:color="000000" w:sz="4" w:space="0"/>
              <w:left w:val="single" w:color="000000" w:sz="4" w:space="0"/>
              <w:bottom w:val="single" w:color="000000" w:sz="4" w:space="0"/>
              <w:right w:val="single" w:color="000000" w:sz="4" w:space="0"/>
            </w:tcBorders>
          </w:tcPr>
          <w:p w14:paraId="5164A94A">
            <w:pPr>
              <w:spacing w:after="0" w:line="259" w:lineRule="auto"/>
              <w:ind w:right="0" w:firstLine="0"/>
            </w:pPr>
            <w:r>
              <w:rPr>
                <w:rFonts w:ascii="宋体" w:hAnsi="宋体" w:eastAsia="宋体" w:cs="宋体"/>
                <w:sz w:val="24"/>
              </w:rPr>
              <w:t>工业设计</w:t>
            </w:r>
          </w:p>
        </w:tc>
        <w:tc>
          <w:tcPr>
            <w:tcW w:w="1642" w:type="dxa"/>
            <w:tcBorders>
              <w:top w:val="single" w:color="000000" w:sz="4" w:space="0"/>
              <w:left w:val="single" w:color="000000" w:sz="4" w:space="0"/>
              <w:bottom w:val="single" w:color="000000" w:sz="4" w:space="0"/>
              <w:right w:val="single" w:color="000000" w:sz="4" w:space="0"/>
            </w:tcBorders>
          </w:tcPr>
          <w:p w14:paraId="2B368EF0">
            <w:pPr>
              <w:spacing w:after="0" w:line="259" w:lineRule="auto"/>
              <w:ind w:right="0" w:firstLine="0"/>
            </w:pPr>
            <w:r>
              <w:rPr>
                <w:rFonts w:ascii="宋体" w:hAnsi="宋体" w:eastAsia="宋体" w:cs="宋体"/>
                <w:sz w:val="24"/>
              </w:rPr>
              <w:t>区别对待</w:t>
            </w:r>
          </w:p>
        </w:tc>
        <w:tc>
          <w:tcPr>
            <w:tcW w:w="4923" w:type="dxa"/>
            <w:tcBorders>
              <w:top w:val="single" w:color="000000" w:sz="4" w:space="0"/>
              <w:left w:val="single" w:color="000000" w:sz="4" w:space="0"/>
              <w:bottom w:val="single" w:color="000000" w:sz="4" w:space="0"/>
              <w:right w:val="single" w:color="000000" w:sz="4" w:space="0"/>
            </w:tcBorders>
          </w:tcPr>
          <w:p w14:paraId="0714CB01">
            <w:pPr>
              <w:spacing w:after="0" w:line="259" w:lineRule="auto"/>
              <w:ind w:right="0" w:firstLine="0"/>
            </w:pPr>
            <w:r>
              <w:rPr>
                <w:rFonts w:ascii="宋体" w:hAnsi="宋体" w:eastAsia="宋体" w:cs="宋体"/>
                <w:sz w:val="24"/>
              </w:rPr>
              <w:t>为研发活动开展的设计属于研发活动，如设计程序、制定技术规格、开发其他用途等；为生产进行的设计不属于研发活动</w:t>
            </w:r>
          </w:p>
        </w:tc>
      </w:tr>
      <w:tr w14:paraId="3DB68631">
        <w:tblPrEx>
          <w:tblCellMar>
            <w:top w:w="119" w:type="dxa"/>
            <w:left w:w="108" w:type="dxa"/>
            <w:bottom w:w="0" w:type="dxa"/>
            <w:right w:w="106" w:type="dxa"/>
          </w:tblCellMar>
        </w:tblPrEx>
        <w:trPr>
          <w:trHeight w:val="1210" w:hRule="atLeast"/>
        </w:trPr>
        <w:tc>
          <w:tcPr>
            <w:tcW w:w="2719" w:type="dxa"/>
            <w:tcBorders>
              <w:top w:val="single" w:color="000000" w:sz="4" w:space="0"/>
              <w:left w:val="single" w:color="000000" w:sz="4" w:space="0"/>
              <w:bottom w:val="single" w:color="000000" w:sz="4" w:space="0"/>
              <w:right w:val="single" w:color="000000" w:sz="4" w:space="0"/>
            </w:tcBorders>
          </w:tcPr>
          <w:p w14:paraId="6942BD62">
            <w:pPr>
              <w:spacing w:after="0" w:line="259" w:lineRule="auto"/>
              <w:ind w:right="0" w:firstLine="0"/>
            </w:pPr>
            <w:r>
              <w:rPr>
                <w:rFonts w:ascii="宋体" w:hAnsi="宋体" w:eastAsia="宋体" w:cs="宋体"/>
                <w:sz w:val="24"/>
              </w:rPr>
              <w:t>工业工程和工装准备</w:t>
            </w:r>
          </w:p>
        </w:tc>
        <w:tc>
          <w:tcPr>
            <w:tcW w:w="1642" w:type="dxa"/>
            <w:tcBorders>
              <w:top w:val="single" w:color="000000" w:sz="4" w:space="0"/>
              <w:left w:val="single" w:color="000000" w:sz="4" w:space="0"/>
              <w:bottom w:val="single" w:color="000000" w:sz="4" w:space="0"/>
              <w:right w:val="single" w:color="000000" w:sz="4" w:space="0"/>
            </w:tcBorders>
          </w:tcPr>
          <w:p w14:paraId="25E57CE4">
            <w:pPr>
              <w:spacing w:after="0" w:line="259" w:lineRule="auto"/>
              <w:ind w:right="0" w:firstLine="0"/>
            </w:pPr>
            <w:r>
              <w:rPr>
                <w:rFonts w:ascii="宋体" w:hAnsi="宋体" w:eastAsia="宋体" w:cs="宋体"/>
                <w:sz w:val="24"/>
              </w:rPr>
              <w:t>区别对待</w:t>
            </w:r>
          </w:p>
        </w:tc>
        <w:tc>
          <w:tcPr>
            <w:tcW w:w="4923" w:type="dxa"/>
            <w:tcBorders>
              <w:top w:val="single" w:color="000000" w:sz="4" w:space="0"/>
              <w:left w:val="single" w:color="000000" w:sz="4" w:space="0"/>
              <w:bottom w:val="single" w:color="000000" w:sz="4" w:space="0"/>
              <w:right w:val="single" w:color="000000" w:sz="4" w:space="0"/>
            </w:tcBorders>
          </w:tcPr>
          <w:p w14:paraId="45088A6E">
            <w:pPr>
              <w:spacing w:after="0" w:line="259" w:lineRule="auto"/>
              <w:ind w:right="0" w:firstLine="0"/>
            </w:pPr>
            <w:r>
              <w:rPr>
                <w:rFonts w:ascii="宋体" w:hAnsi="宋体" w:eastAsia="宋体" w:cs="宋体"/>
                <w:sz w:val="24"/>
              </w:rPr>
              <w:t>“反馈”研发及与创新过程中的工装准备和工程属于研发活动；为产品流程而进行的工作不属于研发活动</w:t>
            </w:r>
          </w:p>
        </w:tc>
      </w:tr>
      <w:tr w14:paraId="4FCEEBD9">
        <w:tblPrEx>
          <w:tblCellMar>
            <w:top w:w="119" w:type="dxa"/>
            <w:left w:w="108" w:type="dxa"/>
            <w:bottom w:w="0" w:type="dxa"/>
            <w:right w:w="106" w:type="dxa"/>
          </w:tblCellMar>
        </w:tblPrEx>
        <w:trPr>
          <w:trHeight w:val="408" w:hRule="atLeast"/>
        </w:trPr>
        <w:tc>
          <w:tcPr>
            <w:tcW w:w="2719" w:type="dxa"/>
            <w:tcBorders>
              <w:top w:val="single" w:color="000000" w:sz="4" w:space="0"/>
              <w:left w:val="single" w:color="000000" w:sz="4" w:space="0"/>
              <w:bottom w:val="single" w:color="000000" w:sz="4" w:space="0"/>
              <w:right w:val="single" w:color="000000" w:sz="4" w:space="0"/>
            </w:tcBorders>
          </w:tcPr>
          <w:p w14:paraId="5BE730D7">
            <w:pPr>
              <w:spacing w:after="0" w:line="259" w:lineRule="auto"/>
              <w:ind w:right="0" w:firstLine="0"/>
            </w:pPr>
            <w:r>
              <w:rPr>
                <w:rFonts w:ascii="宋体" w:hAnsi="宋体" w:eastAsia="宋体" w:cs="宋体"/>
                <w:sz w:val="24"/>
              </w:rPr>
              <w:t>软件开发</w:t>
            </w:r>
          </w:p>
        </w:tc>
        <w:tc>
          <w:tcPr>
            <w:tcW w:w="1642" w:type="dxa"/>
            <w:tcBorders>
              <w:top w:val="single" w:color="000000" w:sz="4" w:space="0"/>
              <w:left w:val="single" w:color="000000" w:sz="4" w:space="0"/>
              <w:bottom w:val="single" w:color="000000" w:sz="4" w:space="0"/>
              <w:right w:val="single" w:color="000000" w:sz="4" w:space="0"/>
            </w:tcBorders>
          </w:tcPr>
          <w:p w14:paraId="0D76202A">
            <w:pPr>
              <w:spacing w:after="0" w:line="259" w:lineRule="auto"/>
              <w:ind w:right="0" w:firstLine="0"/>
            </w:pPr>
            <w:r>
              <w:rPr>
                <w:rFonts w:ascii="宋体" w:hAnsi="宋体" w:eastAsia="宋体" w:cs="宋体"/>
                <w:sz w:val="24"/>
              </w:rPr>
              <w:t>区别对待</w:t>
            </w:r>
          </w:p>
        </w:tc>
        <w:tc>
          <w:tcPr>
            <w:tcW w:w="4923" w:type="dxa"/>
            <w:tcBorders>
              <w:top w:val="single" w:color="000000" w:sz="4" w:space="0"/>
              <w:left w:val="single" w:color="000000" w:sz="4" w:space="0"/>
              <w:bottom w:val="single" w:color="000000" w:sz="4" w:space="0"/>
              <w:right w:val="single" w:color="000000" w:sz="4" w:space="0"/>
            </w:tcBorders>
          </w:tcPr>
          <w:p w14:paraId="6D115D2A">
            <w:pPr>
              <w:spacing w:after="0" w:line="259" w:lineRule="auto"/>
              <w:ind w:right="0" w:firstLine="0"/>
              <w:jc w:val="both"/>
            </w:pPr>
            <w:r>
              <w:rPr>
                <w:rFonts w:ascii="宋体" w:hAnsi="宋体" w:eastAsia="宋体" w:cs="宋体"/>
                <w:sz w:val="24"/>
              </w:rPr>
              <w:t>在不以软件为最终产品的情况下，如果软件开</w:t>
            </w:r>
          </w:p>
        </w:tc>
      </w:tr>
      <w:tr w14:paraId="073EC8FF">
        <w:tblPrEx>
          <w:tblCellMar>
            <w:top w:w="119" w:type="dxa"/>
            <w:left w:w="108" w:type="dxa"/>
            <w:bottom w:w="0" w:type="dxa"/>
            <w:right w:w="106" w:type="dxa"/>
          </w:tblCellMar>
        </w:tblPrEx>
        <w:trPr>
          <w:trHeight w:val="410" w:hRule="atLeast"/>
        </w:trPr>
        <w:tc>
          <w:tcPr>
            <w:tcW w:w="2719" w:type="dxa"/>
            <w:tcBorders>
              <w:top w:val="single" w:color="000000" w:sz="4" w:space="0"/>
              <w:left w:val="single" w:color="000000" w:sz="4" w:space="0"/>
              <w:bottom w:val="single" w:color="000000" w:sz="4" w:space="0"/>
              <w:right w:val="single" w:color="000000" w:sz="4" w:space="0"/>
            </w:tcBorders>
          </w:tcPr>
          <w:p w14:paraId="4E7A089C">
            <w:pPr>
              <w:spacing w:after="0" w:line="259" w:lineRule="auto"/>
              <w:ind w:right="2" w:firstLine="0"/>
              <w:jc w:val="center"/>
            </w:pPr>
            <w:r>
              <w:rPr>
                <w:rFonts w:ascii="宋体" w:hAnsi="宋体" w:eastAsia="宋体" w:cs="宋体"/>
                <w:sz w:val="24"/>
              </w:rPr>
              <w:t>项目</w:t>
            </w:r>
          </w:p>
        </w:tc>
        <w:tc>
          <w:tcPr>
            <w:tcW w:w="1642" w:type="dxa"/>
            <w:tcBorders>
              <w:top w:val="single" w:color="000000" w:sz="4" w:space="0"/>
              <w:left w:val="single" w:color="000000" w:sz="4" w:space="0"/>
              <w:bottom w:val="single" w:color="000000" w:sz="4" w:space="0"/>
              <w:right w:val="single" w:color="000000" w:sz="4" w:space="0"/>
            </w:tcBorders>
          </w:tcPr>
          <w:p w14:paraId="491E468C">
            <w:pPr>
              <w:spacing w:after="0" w:line="259" w:lineRule="auto"/>
              <w:ind w:left="233" w:right="0" w:firstLine="0"/>
            </w:pPr>
            <w:r>
              <w:rPr>
                <w:rFonts w:ascii="宋体" w:hAnsi="宋体" w:eastAsia="宋体" w:cs="宋体"/>
                <w:sz w:val="24"/>
              </w:rPr>
              <w:t>处理方式</w:t>
            </w:r>
          </w:p>
        </w:tc>
        <w:tc>
          <w:tcPr>
            <w:tcW w:w="4923" w:type="dxa"/>
            <w:tcBorders>
              <w:top w:val="single" w:color="000000" w:sz="4" w:space="0"/>
              <w:left w:val="single" w:color="000000" w:sz="4" w:space="0"/>
              <w:bottom w:val="single" w:color="000000" w:sz="4" w:space="0"/>
              <w:right w:val="single" w:color="000000" w:sz="4" w:space="0"/>
            </w:tcBorders>
          </w:tcPr>
          <w:p w14:paraId="6516352A">
            <w:pPr>
              <w:spacing w:after="0" w:line="259" w:lineRule="auto"/>
              <w:ind w:right="3" w:firstLine="0"/>
              <w:jc w:val="center"/>
            </w:pPr>
            <w:r>
              <w:rPr>
                <w:rFonts w:ascii="宋体" w:hAnsi="宋体" w:eastAsia="宋体" w:cs="宋体"/>
                <w:sz w:val="24"/>
              </w:rPr>
              <w:t>备注</w:t>
            </w:r>
          </w:p>
        </w:tc>
      </w:tr>
      <w:tr w14:paraId="630E74C9">
        <w:tblPrEx>
          <w:tblCellMar>
            <w:top w:w="119" w:type="dxa"/>
            <w:left w:w="108" w:type="dxa"/>
            <w:bottom w:w="0" w:type="dxa"/>
            <w:right w:w="106" w:type="dxa"/>
          </w:tblCellMar>
        </w:tblPrEx>
        <w:trPr>
          <w:trHeight w:val="810" w:hRule="atLeast"/>
        </w:trPr>
        <w:tc>
          <w:tcPr>
            <w:tcW w:w="2719" w:type="dxa"/>
            <w:tcBorders>
              <w:top w:val="single" w:color="000000" w:sz="4" w:space="0"/>
              <w:left w:val="single" w:color="000000" w:sz="4" w:space="0"/>
              <w:bottom w:val="single" w:color="000000" w:sz="4" w:space="0"/>
              <w:right w:val="single" w:color="000000" w:sz="4" w:space="0"/>
            </w:tcBorders>
          </w:tcPr>
          <w:p w14:paraId="213BD4A8">
            <w:pPr>
              <w:spacing w:after="160" w:line="259" w:lineRule="auto"/>
              <w:ind w:right="0" w:firstLine="0"/>
            </w:pPr>
          </w:p>
        </w:tc>
        <w:tc>
          <w:tcPr>
            <w:tcW w:w="1642" w:type="dxa"/>
            <w:tcBorders>
              <w:top w:val="single" w:color="000000" w:sz="4" w:space="0"/>
              <w:left w:val="single" w:color="000000" w:sz="4" w:space="0"/>
              <w:bottom w:val="single" w:color="000000" w:sz="4" w:space="0"/>
              <w:right w:val="single" w:color="000000" w:sz="4" w:space="0"/>
            </w:tcBorders>
          </w:tcPr>
          <w:p w14:paraId="171DACE7">
            <w:pPr>
              <w:spacing w:after="160" w:line="259" w:lineRule="auto"/>
              <w:ind w:right="0" w:firstLine="0"/>
            </w:pPr>
          </w:p>
        </w:tc>
        <w:tc>
          <w:tcPr>
            <w:tcW w:w="4923" w:type="dxa"/>
            <w:tcBorders>
              <w:top w:val="single" w:color="000000" w:sz="4" w:space="0"/>
              <w:left w:val="single" w:color="000000" w:sz="4" w:space="0"/>
              <w:bottom w:val="single" w:color="000000" w:sz="4" w:space="0"/>
              <w:right w:val="single" w:color="000000" w:sz="4" w:space="0"/>
            </w:tcBorders>
          </w:tcPr>
          <w:p w14:paraId="552204C8">
            <w:pPr>
              <w:spacing w:after="0" w:line="259" w:lineRule="auto"/>
              <w:ind w:right="0" w:firstLine="0"/>
            </w:pPr>
            <w:r>
              <w:rPr>
                <w:rFonts w:ascii="宋体" w:hAnsi="宋体" w:eastAsia="宋体" w:cs="宋体"/>
                <w:sz w:val="24"/>
              </w:rPr>
              <w:t>发是研发项目整体组成的一部分，属于研发活动；否则，需要进一步判断</w:t>
            </w:r>
          </w:p>
        </w:tc>
      </w:tr>
      <w:tr w14:paraId="54465AE3">
        <w:tblPrEx>
          <w:tblCellMar>
            <w:top w:w="119" w:type="dxa"/>
            <w:left w:w="108" w:type="dxa"/>
            <w:bottom w:w="0" w:type="dxa"/>
            <w:right w:w="106" w:type="dxa"/>
          </w:tblCellMar>
        </w:tblPrEx>
        <w:trPr>
          <w:trHeight w:val="1210" w:hRule="atLeast"/>
        </w:trPr>
        <w:tc>
          <w:tcPr>
            <w:tcW w:w="2719" w:type="dxa"/>
            <w:tcBorders>
              <w:top w:val="single" w:color="000000" w:sz="4" w:space="0"/>
              <w:left w:val="single" w:color="000000" w:sz="4" w:space="0"/>
              <w:bottom w:val="single" w:color="000000" w:sz="4" w:space="0"/>
              <w:right w:val="single" w:color="000000" w:sz="4" w:space="0"/>
            </w:tcBorders>
          </w:tcPr>
          <w:p w14:paraId="536DC3D5">
            <w:pPr>
              <w:spacing w:after="0" w:line="259" w:lineRule="auto"/>
              <w:ind w:right="0" w:firstLine="0"/>
            </w:pPr>
            <w:r>
              <w:rPr>
                <w:rFonts w:ascii="宋体" w:hAnsi="宋体" w:eastAsia="宋体" w:cs="宋体"/>
                <w:sz w:val="24"/>
              </w:rPr>
              <w:t>试生产</w:t>
            </w:r>
          </w:p>
        </w:tc>
        <w:tc>
          <w:tcPr>
            <w:tcW w:w="1642" w:type="dxa"/>
            <w:tcBorders>
              <w:top w:val="single" w:color="000000" w:sz="4" w:space="0"/>
              <w:left w:val="single" w:color="000000" w:sz="4" w:space="0"/>
              <w:bottom w:val="single" w:color="000000" w:sz="4" w:space="0"/>
              <w:right w:val="single" w:color="000000" w:sz="4" w:space="0"/>
            </w:tcBorders>
          </w:tcPr>
          <w:p w14:paraId="3467D40A">
            <w:pPr>
              <w:spacing w:after="0" w:line="259" w:lineRule="auto"/>
              <w:ind w:right="0" w:firstLine="0"/>
            </w:pPr>
            <w:r>
              <w:rPr>
                <w:rFonts w:ascii="宋体" w:hAnsi="宋体" w:eastAsia="宋体" w:cs="宋体"/>
                <w:sz w:val="24"/>
              </w:rPr>
              <w:t>区别对待</w:t>
            </w:r>
          </w:p>
        </w:tc>
        <w:tc>
          <w:tcPr>
            <w:tcW w:w="4923" w:type="dxa"/>
            <w:tcBorders>
              <w:top w:val="single" w:color="000000" w:sz="4" w:space="0"/>
              <w:left w:val="single" w:color="000000" w:sz="4" w:space="0"/>
              <w:bottom w:val="single" w:color="000000" w:sz="4" w:space="0"/>
              <w:right w:val="single" w:color="000000" w:sz="4" w:space="0"/>
            </w:tcBorders>
          </w:tcPr>
          <w:p w14:paraId="54C3670D">
            <w:pPr>
              <w:spacing w:after="0" w:line="259" w:lineRule="auto"/>
              <w:ind w:right="0" w:firstLine="0"/>
            </w:pPr>
            <w:r>
              <w:rPr>
                <w:rFonts w:ascii="宋体" w:hAnsi="宋体" w:eastAsia="宋体" w:cs="宋体"/>
                <w:sz w:val="24"/>
              </w:rPr>
              <w:t>为新产品、新工艺全面测试及随后进一步的设计和工程化进行的试生产属于研发活动；否则，不属于研发活动</w:t>
            </w:r>
          </w:p>
        </w:tc>
      </w:tr>
      <w:tr w14:paraId="0988C2FD">
        <w:tblPrEx>
          <w:tblCellMar>
            <w:top w:w="119" w:type="dxa"/>
            <w:left w:w="108" w:type="dxa"/>
            <w:bottom w:w="0" w:type="dxa"/>
            <w:right w:w="106" w:type="dxa"/>
          </w:tblCellMar>
        </w:tblPrEx>
        <w:trPr>
          <w:trHeight w:val="589" w:hRule="atLeast"/>
        </w:trPr>
        <w:tc>
          <w:tcPr>
            <w:tcW w:w="2719" w:type="dxa"/>
            <w:tcBorders>
              <w:top w:val="single" w:color="000000" w:sz="4" w:space="0"/>
              <w:left w:val="single" w:color="000000" w:sz="4" w:space="0"/>
              <w:bottom w:val="single" w:color="000000" w:sz="4" w:space="0"/>
              <w:right w:val="single" w:color="000000" w:sz="4" w:space="0"/>
            </w:tcBorders>
            <w:vAlign w:val="center"/>
          </w:tcPr>
          <w:p w14:paraId="438C38D6">
            <w:pPr>
              <w:spacing w:after="0" w:line="259" w:lineRule="auto"/>
              <w:ind w:right="0" w:firstLine="0"/>
            </w:pPr>
            <w:r>
              <w:rPr>
                <w:rFonts w:ascii="宋体" w:hAnsi="宋体" w:eastAsia="宋体" w:cs="宋体"/>
                <w:sz w:val="24"/>
              </w:rPr>
              <w:t>售后服务和故障排除</w:t>
            </w:r>
          </w:p>
        </w:tc>
        <w:tc>
          <w:tcPr>
            <w:tcW w:w="1642" w:type="dxa"/>
            <w:tcBorders>
              <w:top w:val="single" w:color="000000" w:sz="4" w:space="0"/>
              <w:left w:val="single" w:color="000000" w:sz="4" w:space="0"/>
              <w:bottom w:val="single" w:color="000000" w:sz="4" w:space="0"/>
              <w:right w:val="single" w:color="000000" w:sz="4" w:space="0"/>
            </w:tcBorders>
            <w:vAlign w:val="center"/>
          </w:tcPr>
          <w:p w14:paraId="02C32A6A">
            <w:pPr>
              <w:spacing w:after="0" w:line="259" w:lineRule="auto"/>
              <w:ind w:right="0" w:firstLine="0"/>
            </w:pPr>
            <w:r>
              <w:rPr>
                <w:rFonts w:ascii="宋体" w:hAnsi="宋体" w:eastAsia="宋体" w:cs="宋体"/>
                <w:sz w:val="24"/>
              </w:rPr>
              <w:t>不属于R&amp;D</w:t>
            </w:r>
          </w:p>
        </w:tc>
        <w:tc>
          <w:tcPr>
            <w:tcW w:w="4923" w:type="dxa"/>
            <w:tcBorders>
              <w:top w:val="single" w:color="000000" w:sz="4" w:space="0"/>
              <w:left w:val="single" w:color="000000" w:sz="4" w:space="0"/>
              <w:bottom w:val="single" w:color="000000" w:sz="4" w:space="0"/>
              <w:right w:val="single" w:color="000000" w:sz="4" w:space="0"/>
            </w:tcBorders>
            <w:vAlign w:val="center"/>
          </w:tcPr>
          <w:p w14:paraId="1AF6E192">
            <w:pPr>
              <w:spacing w:after="0" w:line="259" w:lineRule="auto"/>
              <w:ind w:right="0" w:firstLine="0"/>
            </w:pPr>
            <w:r>
              <w:rPr>
                <w:rFonts w:ascii="宋体" w:hAnsi="宋体" w:eastAsia="宋体" w:cs="宋体"/>
                <w:sz w:val="24"/>
              </w:rPr>
              <w:t>“反馈”研发除外</w:t>
            </w:r>
          </w:p>
        </w:tc>
      </w:tr>
      <w:tr w14:paraId="72027246">
        <w:tblPrEx>
          <w:tblCellMar>
            <w:top w:w="119" w:type="dxa"/>
            <w:left w:w="108" w:type="dxa"/>
            <w:bottom w:w="0" w:type="dxa"/>
            <w:right w:w="106" w:type="dxa"/>
          </w:tblCellMar>
        </w:tblPrEx>
        <w:trPr>
          <w:trHeight w:val="410" w:hRule="atLeast"/>
        </w:trPr>
        <w:tc>
          <w:tcPr>
            <w:tcW w:w="2719" w:type="dxa"/>
            <w:tcBorders>
              <w:top w:val="single" w:color="000000" w:sz="4" w:space="0"/>
              <w:left w:val="single" w:color="000000" w:sz="4" w:space="0"/>
              <w:bottom w:val="single" w:color="000000" w:sz="4" w:space="0"/>
              <w:right w:val="single" w:color="000000" w:sz="4" w:space="0"/>
            </w:tcBorders>
          </w:tcPr>
          <w:p w14:paraId="5D31B8A5">
            <w:pPr>
              <w:spacing w:after="0" w:line="259" w:lineRule="auto"/>
              <w:ind w:right="0" w:firstLine="0"/>
            </w:pPr>
            <w:r>
              <w:rPr>
                <w:rFonts w:ascii="宋体" w:hAnsi="宋体" w:eastAsia="宋体" w:cs="宋体"/>
                <w:sz w:val="24"/>
              </w:rPr>
              <w:t>专利与许可证工作</w:t>
            </w:r>
          </w:p>
        </w:tc>
        <w:tc>
          <w:tcPr>
            <w:tcW w:w="1642" w:type="dxa"/>
            <w:tcBorders>
              <w:top w:val="single" w:color="000000" w:sz="4" w:space="0"/>
              <w:left w:val="single" w:color="000000" w:sz="4" w:space="0"/>
              <w:bottom w:val="single" w:color="000000" w:sz="4" w:space="0"/>
              <w:right w:val="single" w:color="000000" w:sz="4" w:space="0"/>
            </w:tcBorders>
          </w:tcPr>
          <w:p w14:paraId="7589E680">
            <w:pPr>
              <w:spacing w:after="0" w:line="259" w:lineRule="auto"/>
              <w:ind w:right="0" w:firstLine="0"/>
            </w:pPr>
            <w:r>
              <w:rPr>
                <w:rFonts w:ascii="宋体" w:hAnsi="宋体" w:eastAsia="宋体" w:cs="宋体"/>
                <w:sz w:val="24"/>
              </w:rPr>
              <w:t>不属于R&amp;D</w:t>
            </w:r>
          </w:p>
        </w:tc>
        <w:tc>
          <w:tcPr>
            <w:tcW w:w="4923" w:type="dxa"/>
            <w:tcBorders>
              <w:top w:val="single" w:color="000000" w:sz="4" w:space="0"/>
              <w:left w:val="single" w:color="000000" w:sz="4" w:space="0"/>
              <w:bottom w:val="single" w:color="000000" w:sz="4" w:space="0"/>
              <w:right w:val="single" w:color="000000" w:sz="4" w:space="0"/>
            </w:tcBorders>
          </w:tcPr>
          <w:p w14:paraId="2CC26944">
            <w:pPr>
              <w:spacing w:after="0" w:line="259" w:lineRule="auto"/>
              <w:ind w:right="0" w:firstLine="0"/>
            </w:pPr>
            <w:r>
              <w:rPr>
                <w:rFonts w:ascii="宋体" w:hAnsi="宋体" w:eastAsia="宋体" w:cs="宋体"/>
                <w:sz w:val="24"/>
              </w:rPr>
              <w:t>与研发项目直接相关的专利工作除外</w:t>
            </w:r>
          </w:p>
        </w:tc>
      </w:tr>
      <w:tr w14:paraId="7BE08083">
        <w:tblPrEx>
          <w:tblCellMar>
            <w:top w:w="119" w:type="dxa"/>
            <w:left w:w="108" w:type="dxa"/>
            <w:bottom w:w="0" w:type="dxa"/>
            <w:right w:w="106" w:type="dxa"/>
          </w:tblCellMar>
        </w:tblPrEx>
        <w:trPr>
          <w:trHeight w:val="810" w:hRule="atLeast"/>
        </w:trPr>
        <w:tc>
          <w:tcPr>
            <w:tcW w:w="2719" w:type="dxa"/>
            <w:tcBorders>
              <w:top w:val="single" w:color="000000" w:sz="4" w:space="0"/>
              <w:left w:val="single" w:color="000000" w:sz="4" w:space="0"/>
              <w:bottom w:val="single" w:color="000000" w:sz="4" w:space="0"/>
              <w:right w:val="single" w:color="000000" w:sz="4" w:space="0"/>
            </w:tcBorders>
          </w:tcPr>
          <w:p w14:paraId="02219E67">
            <w:pPr>
              <w:spacing w:after="0" w:line="259" w:lineRule="auto"/>
              <w:ind w:right="0" w:firstLine="0"/>
            </w:pPr>
            <w:r>
              <w:rPr>
                <w:rFonts w:ascii="宋体" w:hAnsi="宋体" w:eastAsia="宋体" w:cs="宋体"/>
                <w:sz w:val="24"/>
              </w:rPr>
              <w:t>常规测试</w:t>
            </w:r>
          </w:p>
        </w:tc>
        <w:tc>
          <w:tcPr>
            <w:tcW w:w="1642" w:type="dxa"/>
            <w:tcBorders>
              <w:top w:val="single" w:color="000000" w:sz="4" w:space="0"/>
              <w:left w:val="single" w:color="000000" w:sz="4" w:space="0"/>
              <w:bottom w:val="single" w:color="000000" w:sz="4" w:space="0"/>
              <w:right w:val="single" w:color="000000" w:sz="4" w:space="0"/>
            </w:tcBorders>
          </w:tcPr>
          <w:p w14:paraId="0000CAFD">
            <w:pPr>
              <w:spacing w:after="0" w:line="259" w:lineRule="auto"/>
              <w:ind w:right="0" w:firstLine="0"/>
            </w:pPr>
            <w:r>
              <w:rPr>
                <w:rFonts w:ascii="宋体" w:hAnsi="宋体" w:eastAsia="宋体" w:cs="宋体"/>
                <w:sz w:val="24"/>
              </w:rPr>
              <w:t>不属于R&amp;D</w:t>
            </w:r>
          </w:p>
        </w:tc>
        <w:tc>
          <w:tcPr>
            <w:tcW w:w="4923" w:type="dxa"/>
            <w:tcBorders>
              <w:top w:val="single" w:color="000000" w:sz="4" w:space="0"/>
              <w:left w:val="single" w:color="000000" w:sz="4" w:space="0"/>
              <w:bottom w:val="single" w:color="000000" w:sz="4" w:space="0"/>
              <w:right w:val="single" w:color="000000" w:sz="4" w:space="0"/>
            </w:tcBorders>
          </w:tcPr>
          <w:p w14:paraId="4DCF2267">
            <w:pPr>
              <w:spacing w:after="0" w:line="259" w:lineRule="auto"/>
              <w:ind w:right="0" w:firstLine="0"/>
            </w:pPr>
            <w:r>
              <w:rPr>
                <w:rFonts w:ascii="宋体" w:hAnsi="宋体" w:eastAsia="宋体" w:cs="宋体"/>
                <w:sz w:val="24"/>
              </w:rPr>
              <w:t>即使由R&amp;D人员进行的常规测试也不属于研发活动</w:t>
            </w:r>
          </w:p>
        </w:tc>
      </w:tr>
      <w:tr w14:paraId="62D973E8">
        <w:tblPrEx>
          <w:tblCellMar>
            <w:top w:w="119" w:type="dxa"/>
            <w:left w:w="108" w:type="dxa"/>
            <w:bottom w:w="0" w:type="dxa"/>
            <w:right w:w="106" w:type="dxa"/>
          </w:tblCellMar>
        </w:tblPrEx>
        <w:trPr>
          <w:trHeight w:val="810" w:hRule="atLeast"/>
        </w:trPr>
        <w:tc>
          <w:tcPr>
            <w:tcW w:w="2719" w:type="dxa"/>
            <w:tcBorders>
              <w:top w:val="single" w:color="000000" w:sz="4" w:space="0"/>
              <w:left w:val="single" w:color="000000" w:sz="4" w:space="0"/>
              <w:bottom w:val="single" w:color="000000" w:sz="4" w:space="0"/>
              <w:right w:val="single" w:color="000000" w:sz="4" w:space="0"/>
            </w:tcBorders>
          </w:tcPr>
          <w:p w14:paraId="3681A830">
            <w:pPr>
              <w:spacing w:after="0" w:line="259" w:lineRule="auto"/>
              <w:ind w:right="0" w:firstLine="0"/>
            </w:pPr>
            <w:r>
              <w:rPr>
                <w:rFonts w:ascii="宋体" w:hAnsi="宋体" w:eastAsia="宋体" w:cs="宋体"/>
                <w:sz w:val="24"/>
              </w:rPr>
              <w:t>数据收集</w:t>
            </w:r>
          </w:p>
        </w:tc>
        <w:tc>
          <w:tcPr>
            <w:tcW w:w="1642" w:type="dxa"/>
            <w:tcBorders>
              <w:top w:val="single" w:color="000000" w:sz="4" w:space="0"/>
              <w:left w:val="single" w:color="000000" w:sz="4" w:space="0"/>
              <w:bottom w:val="single" w:color="000000" w:sz="4" w:space="0"/>
              <w:right w:val="single" w:color="000000" w:sz="4" w:space="0"/>
            </w:tcBorders>
          </w:tcPr>
          <w:p w14:paraId="3A1F8C59">
            <w:pPr>
              <w:spacing w:after="0" w:line="259" w:lineRule="auto"/>
              <w:ind w:right="0" w:firstLine="0"/>
            </w:pPr>
            <w:r>
              <w:rPr>
                <w:rFonts w:ascii="宋体" w:hAnsi="宋体" w:eastAsia="宋体" w:cs="宋体"/>
                <w:sz w:val="24"/>
              </w:rPr>
              <w:t>区别对待</w:t>
            </w:r>
          </w:p>
        </w:tc>
        <w:tc>
          <w:tcPr>
            <w:tcW w:w="4923" w:type="dxa"/>
            <w:tcBorders>
              <w:top w:val="single" w:color="000000" w:sz="4" w:space="0"/>
              <w:left w:val="single" w:color="000000" w:sz="4" w:space="0"/>
              <w:bottom w:val="single" w:color="000000" w:sz="4" w:space="0"/>
              <w:right w:val="single" w:color="000000" w:sz="4" w:space="0"/>
            </w:tcBorders>
          </w:tcPr>
          <w:p w14:paraId="713F7B7E">
            <w:pPr>
              <w:spacing w:after="0" w:line="259" w:lineRule="auto"/>
              <w:ind w:right="0" w:firstLine="0"/>
            </w:pPr>
            <w:r>
              <w:rPr>
                <w:rFonts w:ascii="宋体" w:hAnsi="宋体" w:eastAsia="宋体" w:cs="宋体"/>
                <w:sz w:val="24"/>
              </w:rPr>
              <w:t>作为研发项目必不可少组成部分的数据收集属于研发活动；否则，不属于研发活动</w:t>
            </w:r>
          </w:p>
        </w:tc>
      </w:tr>
      <w:tr w14:paraId="61D274B1">
        <w:tblPrEx>
          <w:tblCellMar>
            <w:top w:w="119" w:type="dxa"/>
            <w:left w:w="108" w:type="dxa"/>
            <w:bottom w:w="0" w:type="dxa"/>
            <w:right w:w="106" w:type="dxa"/>
          </w:tblCellMar>
        </w:tblPrEx>
        <w:trPr>
          <w:trHeight w:val="810" w:hRule="atLeast"/>
        </w:trPr>
        <w:tc>
          <w:tcPr>
            <w:tcW w:w="2719" w:type="dxa"/>
            <w:tcBorders>
              <w:top w:val="single" w:color="000000" w:sz="4" w:space="0"/>
              <w:left w:val="single" w:color="000000" w:sz="4" w:space="0"/>
              <w:bottom w:val="single" w:color="000000" w:sz="4" w:space="0"/>
              <w:right w:val="single" w:color="000000" w:sz="4" w:space="0"/>
            </w:tcBorders>
          </w:tcPr>
          <w:p w14:paraId="6F1BD735">
            <w:pPr>
              <w:spacing w:after="0" w:line="259" w:lineRule="auto"/>
              <w:ind w:right="0" w:firstLine="0"/>
            </w:pPr>
            <w:r>
              <w:rPr>
                <w:rFonts w:ascii="宋体" w:hAnsi="宋体" w:eastAsia="宋体" w:cs="宋体"/>
                <w:sz w:val="24"/>
              </w:rPr>
              <w:t>公共检验控制、标准与规章的执行</w:t>
            </w:r>
          </w:p>
        </w:tc>
        <w:tc>
          <w:tcPr>
            <w:tcW w:w="1642" w:type="dxa"/>
            <w:tcBorders>
              <w:top w:val="single" w:color="000000" w:sz="4" w:space="0"/>
              <w:left w:val="single" w:color="000000" w:sz="4" w:space="0"/>
              <w:bottom w:val="single" w:color="000000" w:sz="4" w:space="0"/>
              <w:right w:val="single" w:color="000000" w:sz="4" w:space="0"/>
            </w:tcBorders>
          </w:tcPr>
          <w:p w14:paraId="466840FC">
            <w:pPr>
              <w:spacing w:after="0" w:line="259" w:lineRule="auto"/>
              <w:ind w:right="0" w:firstLine="0"/>
            </w:pPr>
            <w:r>
              <w:rPr>
                <w:rFonts w:ascii="宋体" w:hAnsi="宋体" w:eastAsia="宋体" w:cs="宋体"/>
                <w:sz w:val="24"/>
              </w:rPr>
              <w:t>不属于R&amp;D</w:t>
            </w:r>
          </w:p>
        </w:tc>
        <w:tc>
          <w:tcPr>
            <w:tcW w:w="4923" w:type="dxa"/>
            <w:tcBorders>
              <w:top w:val="single" w:color="000000" w:sz="4" w:space="0"/>
              <w:left w:val="single" w:color="000000" w:sz="4" w:space="0"/>
              <w:bottom w:val="single" w:color="000000" w:sz="4" w:space="0"/>
              <w:right w:val="single" w:color="000000" w:sz="4" w:space="0"/>
            </w:tcBorders>
          </w:tcPr>
          <w:p w14:paraId="44879002">
            <w:pPr>
              <w:spacing w:after="160" w:line="259" w:lineRule="auto"/>
              <w:ind w:right="0" w:firstLine="0"/>
            </w:pPr>
          </w:p>
        </w:tc>
      </w:tr>
    </w:tbl>
    <w:p w14:paraId="26A22046">
      <w:pPr>
        <w:spacing w:after="509" w:line="275" w:lineRule="auto"/>
        <w:ind w:right="0" w:firstLine="0"/>
      </w:pPr>
      <w:r>
        <w:rPr>
          <w:sz w:val="21"/>
        </w:rPr>
        <w:t>注：</w:t>
      </w:r>
      <w:r>
        <w:rPr>
          <w:rFonts w:ascii="宋体" w:hAnsi="宋体" w:eastAsia="宋体" w:cs="宋体"/>
          <w:sz w:val="21"/>
        </w:rPr>
        <w:t>“</w:t>
      </w:r>
      <w:r>
        <w:rPr>
          <w:sz w:val="21"/>
        </w:rPr>
        <w:t>反馈</w:t>
      </w:r>
      <w:r>
        <w:rPr>
          <w:rFonts w:ascii="宋体" w:hAnsi="宋体" w:eastAsia="宋体" w:cs="宋体"/>
          <w:sz w:val="21"/>
        </w:rPr>
        <w:t>”</w:t>
      </w:r>
      <w:r>
        <w:rPr>
          <w:sz w:val="21"/>
        </w:rPr>
        <w:t>研发是指一项新产品或者新工艺转到生产部门后，仍然存在需要解决的技术问题，其中一些可能需要进一步开展的研发活动。</w:t>
      </w:r>
    </w:p>
    <w:p w14:paraId="4D3D3DD8">
      <w:pPr>
        <w:spacing w:after="368" w:line="259" w:lineRule="auto"/>
        <w:ind w:left="559" w:right="0" w:firstLine="0"/>
      </w:pPr>
      <w:r>
        <w:t>2.研发活动与其他科技活动之间的边界说明</w:t>
      </w:r>
    </w:p>
    <w:p w14:paraId="021D0FA5">
      <w:pPr>
        <w:ind w:left="-15" w:right="0"/>
      </w:pPr>
      <w:r>
        <w:t>科技活动的范围更广，包括研究开发、科技服务、科技成果转化等与科学技术相关的各类活动总称。</w:t>
      </w:r>
    </w:p>
    <w:p w14:paraId="09E8DB06">
      <w:pPr>
        <w:ind w:left="-15" w:right="0"/>
      </w:pPr>
      <w:r>
        <w:t>很多科技活动单独看其本身并不是研发活动，但如果主要是为了实现研发需求，则可视为研发活动。例如，科技信息服务、通用信息收集和编制、测试与规范化、质量控制、可行性研究等；否则，不是研发活动。</w:t>
      </w:r>
    </w:p>
    <w:p w14:paraId="3880AF00">
      <w:pPr>
        <w:spacing w:after="429"/>
        <w:ind w:left="-15" w:right="0"/>
      </w:pPr>
      <w:r>
        <w:t>以下科技服务活动不属于研发活动：①以常规手段或者为生产经营目的进行一般加工、定作、修理、修缮、广告、印刷、测绘、标准化测试，建设工程的勘察、设计、安装、施工、监理等服务，但</w:t>
      </w:r>
      <w:r>
        <w:rPr>
          <w:color w:val="FF0000"/>
        </w:rPr>
        <w:t>以非常规技术手段，解决复杂、特殊技术问题而提供的服</w:t>
      </w:r>
      <w:r>
        <w:t>务除外；②描晒复印图纸、摄影摄像等服务;③计量检定单位提供的强制性计量检定服务;④理化测试分析单位提供的仪器设备的购售、租赁及用户服务。</w:t>
      </w:r>
    </w:p>
    <w:p w14:paraId="1E49E7BF">
      <w:pPr>
        <w:spacing w:after="371" w:line="259" w:lineRule="auto"/>
        <w:ind w:left="559" w:right="0" w:firstLine="0"/>
      </w:pPr>
      <w:r>
        <w:t>3.软件相关研发活动与非研发活动说明</w:t>
      </w:r>
    </w:p>
    <w:p w14:paraId="660DC348">
      <w:pPr>
        <w:ind w:left="-15" w:right="0"/>
      </w:pPr>
      <w:r>
        <w:t>软件开发活动</w:t>
      </w:r>
      <w:r>
        <w:rPr>
          <w:b/>
          <w:bCs/>
          <w:color w:val="FF0000"/>
        </w:rPr>
        <w:t>即使取得了软件著作权，也不一定是研发活动。只有当软件开发活动符合研发活动的界定时，才属于研发活动</w:t>
      </w:r>
      <w:r>
        <w:t>。</w:t>
      </w:r>
    </w:p>
    <w:p w14:paraId="17C9B1AF">
      <w:pPr>
        <w:spacing w:after="85" w:line="259" w:lineRule="auto"/>
        <w:ind w:left="559" w:right="0" w:firstLine="0"/>
      </w:pPr>
      <w:r>
        <w:t>（1）软件研发活动的典型</w:t>
      </w:r>
    </w:p>
    <w:p w14:paraId="25F7A551">
      <w:pPr>
        <w:numPr>
          <w:ilvl w:val="0"/>
          <w:numId w:val="6"/>
        </w:numPr>
        <w:spacing w:after="114" w:line="259" w:lineRule="auto"/>
        <w:ind w:right="0"/>
      </w:pPr>
      <w:r>
        <w:t>在计算机科学领域产生新的原理、语言、操作系统；</w:t>
      </w:r>
    </w:p>
    <w:p w14:paraId="46F5AF87">
      <w:pPr>
        <w:numPr>
          <w:ilvl w:val="0"/>
          <w:numId w:val="6"/>
        </w:numPr>
        <w:spacing w:after="114" w:line="259" w:lineRule="auto"/>
        <w:ind w:right="0"/>
      </w:pPr>
      <w:r>
        <w:t>基于独创技术，对新搜索引擎的设计和执行；</w:t>
      </w:r>
    </w:p>
    <w:p w14:paraId="0F3C263A">
      <w:pPr>
        <w:numPr>
          <w:ilvl w:val="0"/>
          <w:numId w:val="6"/>
        </w:numPr>
        <w:spacing w:after="114" w:line="259" w:lineRule="auto"/>
        <w:ind w:right="0"/>
      </w:pPr>
      <w:r>
        <w:t>基于系统或者网络的流程再造，试图解决硬件或者软件的冲突；</w:t>
      </w:r>
    </w:p>
    <w:p w14:paraId="38AAB7E7">
      <w:pPr>
        <w:numPr>
          <w:ilvl w:val="0"/>
          <w:numId w:val="6"/>
        </w:numPr>
        <w:ind w:right="0"/>
      </w:pPr>
      <w:r>
        <w:t>创建新的或者更有效的算法，开发计算专业领域中的软件工具，如图像处理、地理数据显示、字符识别等；</w:t>
      </w:r>
    </w:p>
    <w:p w14:paraId="349A6416">
      <w:pPr>
        <w:numPr>
          <w:ilvl w:val="0"/>
          <w:numId w:val="6"/>
        </w:numPr>
        <w:spacing w:after="114" w:line="259" w:lineRule="auto"/>
        <w:ind w:right="0"/>
      </w:pPr>
      <w:r>
        <w:t>建立新的、独创的加密技术或者安全技术；</w:t>
      </w:r>
    </w:p>
    <w:p w14:paraId="61272836">
      <w:pPr>
        <w:numPr>
          <w:ilvl w:val="0"/>
          <w:numId w:val="6"/>
        </w:numPr>
        <w:ind w:right="0"/>
      </w:pPr>
      <w:r>
        <w:t>在操作系统、编程语言、数据管理、通讯软件和软件开发工具层面上的信息技术开发；</w:t>
      </w:r>
    </w:p>
    <w:p w14:paraId="72A76188">
      <w:pPr>
        <w:numPr>
          <w:ilvl w:val="0"/>
          <w:numId w:val="6"/>
        </w:numPr>
        <w:spacing w:after="114" w:line="259" w:lineRule="auto"/>
        <w:ind w:right="0"/>
      </w:pPr>
      <w:r>
        <w:t>开源软件的开发；</w:t>
      </w:r>
    </w:p>
    <w:p w14:paraId="21D871C8">
      <w:pPr>
        <w:numPr>
          <w:ilvl w:val="0"/>
          <w:numId w:val="6"/>
        </w:numPr>
        <w:spacing w:after="114" w:line="259" w:lineRule="auto"/>
        <w:ind w:right="0"/>
      </w:pPr>
      <w:r>
        <w:t>互联网技术的发展；</w:t>
      </w:r>
    </w:p>
    <w:p w14:paraId="107A90B3">
      <w:pPr>
        <w:numPr>
          <w:ilvl w:val="0"/>
          <w:numId w:val="6"/>
        </w:numPr>
        <w:spacing w:after="114" w:line="259" w:lineRule="auto"/>
        <w:ind w:right="0"/>
      </w:pPr>
      <w:r>
        <w:t>软件的设计、开发、配置和维护等方面方法的研究；</w:t>
      </w:r>
    </w:p>
    <w:p w14:paraId="077D0DCB">
      <w:pPr>
        <w:numPr>
          <w:ilvl w:val="0"/>
          <w:numId w:val="6"/>
        </w:numPr>
        <w:ind w:right="0"/>
      </w:pPr>
      <w:r>
        <w:t>在</w:t>
      </w:r>
      <w:r>
        <w:rPr>
          <w:color w:val="FF0000"/>
        </w:rPr>
        <w:t>捕捉、传输、存储、检索、处理或显示信息等通用方法上产生进步的软件开发</w:t>
      </w:r>
      <w:r>
        <w:t>；</w:t>
      </w:r>
    </w:p>
    <w:p w14:paraId="2A379302">
      <w:pPr>
        <w:numPr>
          <w:ilvl w:val="0"/>
          <w:numId w:val="6"/>
        </w:numPr>
        <w:ind w:right="0"/>
      </w:pPr>
      <w:r>
        <w:t>开发软件程序或系统所必需的，旨在填补技术知识空白的试验发展；</w:t>
      </w:r>
    </w:p>
    <w:p w14:paraId="50B5F03B">
      <w:pPr>
        <w:numPr>
          <w:ilvl w:val="0"/>
          <w:numId w:val="6"/>
        </w:numPr>
        <w:ind w:right="0"/>
      </w:pPr>
      <w:r>
        <w:t>对现有程序或系统的升级、扩充或改变体现了科学和（或）技术的进步，并带来了知识存量的增加，可将其归为研发活动，如</w:t>
      </w:r>
      <w:r>
        <w:rPr>
          <w:color w:val="FF0000"/>
        </w:rPr>
        <w:t>软件适配不同的操作系统或硬件、产品运行性能得以显著提升</w:t>
      </w:r>
      <w:r>
        <w:t>；</w:t>
      </w:r>
    </w:p>
    <w:p w14:paraId="0BE4E418">
      <w:pPr>
        <w:numPr>
          <w:ilvl w:val="0"/>
          <w:numId w:val="6"/>
        </w:numPr>
        <w:ind w:right="0"/>
      </w:pPr>
      <w:r>
        <w:t>针对</w:t>
      </w:r>
      <w:r>
        <w:rPr>
          <w:b/>
          <w:bCs/>
          <w:color w:val="FF0000"/>
        </w:rPr>
        <w:t>新应用场景的软件开发，如算法的优化迭代、产品基础架构和功能模块的重新设计等</w:t>
      </w:r>
      <w:r>
        <w:t>。</w:t>
      </w:r>
    </w:p>
    <w:p w14:paraId="0669822C">
      <w:pPr>
        <w:spacing w:after="85" w:line="259" w:lineRule="auto"/>
        <w:ind w:left="559" w:right="0" w:firstLine="0"/>
      </w:pPr>
      <w:r>
        <w:t>（2）软件相关非研发活动的典型</w:t>
      </w:r>
    </w:p>
    <w:p w14:paraId="5990C3ED">
      <w:pPr>
        <w:ind w:left="-15" w:right="0"/>
      </w:pPr>
      <w:r>
        <w:t>常规性的软件相关活动，由于不涉及科学和（或）技术的进步或技术不确定性的解决，不属于研发。例如：</w:t>
      </w:r>
    </w:p>
    <w:p w14:paraId="5DCD2EE1">
      <w:pPr>
        <w:numPr>
          <w:ilvl w:val="0"/>
          <w:numId w:val="7"/>
        </w:numPr>
        <w:ind w:right="0"/>
      </w:pPr>
      <w:r>
        <w:t>运用已知方法和现有软件工具进行商业应用软件和信息系统的开发；</w:t>
      </w:r>
    </w:p>
    <w:p w14:paraId="6503C678">
      <w:pPr>
        <w:numPr>
          <w:ilvl w:val="0"/>
          <w:numId w:val="7"/>
        </w:numPr>
        <w:spacing w:after="114" w:line="259" w:lineRule="auto"/>
        <w:ind w:right="0"/>
      </w:pPr>
      <w:r>
        <w:t>使用标准的加密方法进行安全性验证和数据完整性测试；</w:t>
      </w:r>
    </w:p>
    <w:p w14:paraId="273A0D37">
      <w:pPr>
        <w:numPr>
          <w:ilvl w:val="0"/>
          <w:numId w:val="7"/>
        </w:numPr>
        <w:spacing w:after="114" w:line="259" w:lineRule="auto"/>
        <w:ind w:right="0"/>
      </w:pPr>
      <w:r>
        <w:t>使用现有工具对网页或者软件的制作；</w:t>
      </w:r>
    </w:p>
    <w:p w14:paraId="4F9EFBA0">
      <w:pPr>
        <w:numPr>
          <w:ilvl w:val="0"/>
          <w:numId w:val="7"/>
        </w:numPr>
        <w:ind w:right="0"/>
      </w:pPr>
      <w:r>
        <w:t>定制具有特殊用途的产品，在这个过程中，增加的知识对原有项目有重大改进的除外；</w:t>
      </w:r>
    </w:p>
    <w:p w14:paraId="1C6B3EC9">
      <w:pPr>
        <w:numPr>
          <w:ilvl w:val="0"/>
          <w:numId w:val="7"/>
        </w:numPr>
        <w:spacing w:after="114" w:line="259" w:lineRule="auto"/>
        <w:ind w:right="0"/>
      </w:pPr>
      <w:r>
        <w:t>为应用程序添加用户功能（包括基础数据输入功能）；</w:t>
      </w:r>
    </w:p>
    <w:p w14:paraId="61BBEF57">
      <w:pPr>
        <w:numPr>
          <w:ilvl w:val="0"/>
          <w:numId w:val="7"/>
        </w:numPr>
        <w:ind w:right="0"/>
      </w:pPr>
      <w:r>
        <w:t>试验发展过程结束后，对现有系统或者程序的日常调试，如</w:t>
      </w:r>
      <w:r>
        <w:rPr>
          <w:color w:val="FF0000"/>
        </w:rPr>
        <w:t>功能、界面、性能等方面的简单优化</w:t>
      </w:r>
      <w:r>
        <w:t>；</w:t>
      </w:r>
    </w:p>
    <w:p w14:paraId="2307AEFF">
      <w:pPr>
        <w:numPr>
          <w:ilvl w:val="0"/>
          <w:numId w:val="7"/>
        </w:numPr>
        <w:spacing w:after="114" w:line="259" w:lineRule="auto"/>
        <w:ind w:right="0"/>
      </w:pPr>
      <w:r>
        <w:t>转换和（或）编译计算机语言；</w:t>
      </w:r>
    </w:p>
    <w:p w14:paraId="1CC61819">
      <w:pPr>
        <w:numPr>
          <w:ilvl w:val="0"/>
          <w:numId w:val="7"/>
        </w:numPr>
        <w:spacing w:after="445"/>
        <w:ind w:right="0"/>
      </w:pPr>
      <w:r>
        <w:t>用户使用说明书的编写。</w:t>
      </w:r>
    </w:p>
    <w:p w14:paraId="7B5CA919">
      <w:pPr>
        <w:pStyle w:val="2"/>
        <w:spacing w:after="387"/>
      </w:pPr>
      <w:bookmarkStart w:id="9" w:name="_Toc30235"/>
      <w:r>
        <w:t>三、研发项目管理</w:t>
      </w:r>
      <w:bookmarkEnd w:id="9"/>
    </w:p>
    <w:p w14:paraId="69F82150">
      <w:pPr>
        <w:spacing w:after="241"/>
        <w:ind w:left="-15" w:right="0"/>
      </w:pPr>
      <w:r>
        <w:rPr>
          <w:color w:val="FF0000"/>
        </w:rPr>
        <w:t>适用研发费用加计扣除政策的两大核心是“研发活动的判断”和“研发费用的准确核算归集”</w:t>
      </w:r>
      <w:r>
        <w:t>，而两者都需要以研发项目为基础，即判断研发项目是否为研发活动且按照研发项目进行研发费用准确核算归集。因此，规范的研发项目管理是研发费用加计扣除政策适用的基础和前提。</w:t>
      </w:r>
    </w:p>
    <w:p w14:paraId="2973A9E1">
      <w:pPr>
        <w:pStyle w:val="3"/>
        <w:spacing w:after="361"/>
        <w:ind w:left="554"/>
      </w:pPr>
      <w:bookmarkStart w:id="10" w:name="_Toc30236"/>
      <w:r>
        <w:t>（一）研发项目的组织形式</w:t>
      </w:r>
      <w:bookmarkEnd w:id="10"/>
    </w:p>
    <w:p w14:paraId="42DF062E">
      <w:pPr>
        <w:spacing w:after="109" w:line="259" w:lineRule="auto"/>
        <w:ind w:left="559" w:right="0" w:firstLine="0"/>
      </w:pPr>
      <w:r>
        <w:t>1.主要组织形式</w:t>
      </w:r>
    </w:p>
    <w:p w14:paraId="3E10A316">
      <w:pPr>
        <w:ind w:left="-15" w:right="0"/>
      </w:pPr>
      <w:r>
        <w:t>根据企业研发活动组织方式的不同，企业研发项目一般分为自主研发、委托研发、合作研发与集中研发。</w:t>
      </w:r>
    </w:p>
    <w:p w14:paraId="410D623F">
      <w:pPr>
        <w:numPr>
          <w:ilvl w:val="0"/>
          <w:numId w:val="8"/>
        </w:numPr>
        <w:spacing w:after="85" w:line="259" w:lineRule="auto"/>
        <w:ind w:right="0"/>
      </w:pPr>
      <w:r>
        <w:t>自主研发是指企业依靠自身资源，独立进行研发，并对研发成果拥有完全独立的知识产权。</w:t>
      </w:r>
    </w:p>
    <w:p w14:paraId="19D3DB82">
      <w:pPr>
        <w:numPr>
          <w:ilvl w:val="0"/>
          <w:numId w:val="8"/>
        </w:numPr>
        <w:ind w:right="0"/>
      </w:pPr>
      <w:r>
        <w:t>委托研发是指企业委托外部机构或个人基于企业研发需求而开展的研发项目，企业以支付报酬的形式获得受托方的研发成果所有权。</w:t>
      </w:r>
      <w:r>
        <w:rPr>
          <w:b/>
          <w:bCs/>
          <w:color w:val="FF0000"/>
        </w:rPr>
        <w:t>如果研发成果所有权仅属于受托方，委托方不能享受研发费用加计扣除政策</w:t>
      </w:r>
      <w:r>
        <w:t>。</w:t>
      </w:r>
    </w:p>
    <w:p w14:paraId="1E0D33E5">
      <w:pPr>
        <w:numPr>
          <w:ilvl w:val="0"/>
          <w:numId w:val="8"/>
        </w:numPr>
        <w:ind w:right="0"/>
      </w:pPr>
      <w:r>
        <w:t>合作研发是指立项企业通过契约形式与其他企业共同投入资金、技术、人力等资源的研发项目。</w:t>
      </w:r>
      <w:r>
        <w:rPr>
          <w:color w:val="FF0000"/>
        </w:rPr>
        <w:t>合作研发共同完成的知识产权，其归属由合同约定，如果合同没有约定的，由合作各方共同所有</w:t>
      </w:r>
      <w:r>
        <w:t>。</w:t>
      </w:r>
    </w:p>
    <w:p w14:paraId="738428A1">
      <w:pPr>
        <w:numPr>
          <w:ilvl w:val="0"/>
          <w:numId w:val="8"/>
        </w:numPr>
        <w:spacing w:after="85"/>
        <w:ind w:right="0"/>
      </w:pPr>
      <w:r>
        <w:t>集中研发是指企业集团根据生产经营和科技开发的实际情况，对技术要求高、投资数额大、单个企业难以独立承担的项目进行集中开发。</w:t>
      </w:r>
    </w:p>
    <w:p w14:paraId="151B0F69">
      <w:pPr>
        <w:spacing w:after="109" w:line="259" w:lineRule="auto"/>
        <w:ind w:left="559" w:right="0" w:firstLine="0"/>
      </w:pPr>
      <w:r>
        <w:t>2.委托研发与合作研发的确认</w:t>
      </w:r>
    </w:p>
    <w:p w14:paraId="048F7BAA">
      <w:pPr>
        <w:spacing w:after="241"/>
        <w:ind w:left="-15" w:right="0"/>
      </w:pPr>
      <w:r>
        <w:t>《技术合同认定管理办法》（国科发政字〔2000〕63号）第六条规定：</w:t>
      </w:r>
      <w:r>
        <w:rPr>
          <w:color w:val="FF0000"/>
        </w:rPr>
        <w:t>未申请认定登记和未予登记的技术合同，不得享受国家对有关促进科技成果转化规定的税收、信贷和奖励等方面的优惠政策</w:t>
      </w:r>
      <w:r>
        <w:t>。因此，委托研发与合作研发项目应签订合同，委托、合作研发的合同需经科技行政主管部门登记。其中，根据财税〔2018〕64号规定，委托境外进行研发活动由委托方到科技行政主管部门进行登记。</w:t>
      </w:r>
    </w:p>
    <w:p w14:paraId="7AAC091F">
      <w:pPr>
        <w:pStyle w:val="3"/>
        <w:ind w:left="554"/>
      </w:pPr>
      <w:bookmarkStart w:id="11" w:name="_Toc30237"/>
      <w:r>
        <w:t>（二）研发项目的流程管理</w:t>
      </w:r>
      <w:bookmarkEnd w:id="11"/>
    </w:p>
    <w:p w14:paraId="7B134BA0">
      <w:pPr>
        <w:spacing w:after="86" w:line="324" w:lineRule="auto"/>
        <w:ind w:left="-15" w:right="125"/>
        <w:jc w:val="both"/>
      </w:pPr>
      <w:r>
        <w:t>研发项目是以研发任务为中心，以研发团队为基本活动单位，在相应研发条件的保障之下，开展研发活动。企业对研发项目从立项、实施到结题，建议建立全流程的管理制度，以便可以更好地适用研发费用加计扣除政策。</w:t>
      </w:r>
    </w:p>
    <w:p w14:paraId="4BF3F1C3">
      <w:pPr>
        <w:spacing w:after="109" w:line="259" w:lineRule="auto"/>
        <w:ind w:left="559" w:right="0" w:firstLine="0"/>
      </w:pPr>
      <w:r>
        <w:t>1.研发项目的立项</w:t>
      </w:r>
    </w:p>
    <w:p w14:paraId="52985E92">
      <w:pPr>
        <w:spacing w:after="74"/>
        <w:ind w:left="-15" w:right="0"/>
      </w:pPr>
      <w:r>
        <w:t>企业研发项目立项需要有企业决议文件与项目计划书。项目计划书需回答以下问题：</w:t>
      </w:r>
      <w:r>
        <w:rPr>
          <w:color w:val="FF0000"/>
        </w:rPr>
        <w:t>为什么做、做什么、怎样做、做的条件、做后取得的成果和达到的水平、有什么创新点</w:t>
      </w:r>
      <w:r>
        <w:t>。因此，项目计划书建议包括以下基本要素：</w:t>
      </w:r>
    </w:p>
    <w:p w14:paraId="2F887B26">
      <w:pPr>
        <w:numPr>
          <w:ilvl w:val="0"/>
          <w:numId w:val="9"/>
        </w:numPr>
        <w:ind w:right="0"/>
      </w:pPr>
      <w:r>
        <w:t>研发目标，包括研发意义、国内外现状、预期研发成果、预期实现的技术指标、预期应用价值等；</w:t>
      </w:r>
    </w:p>
    <w:p w14:paraId="250EB8B7">
      <w:pPr>
        <w:numPr>
          <w:ilvl w:val="0"/>
          <w:numId w:val="9"/>
        </w:numPr>
        <w:ind w:right="0"/>
      </w:pPr>
      <w:r>
        <w:t>研发内容，包括技术难点或拟解决的关键技术问题、创新点、技术路线等；</w:t>
      </w:r>
    </w:p>
    <w:p w14:paraId="4B4E1C3D">
      <w:pPr>
        <w:numPr>
          <w:ilvl w:val="0"/>
          <w:numId w:val="9"/>
        </w:numPr>
        <w:spacing w:after="85" w:line="259" w:lineRule="auto"/>
        <w:ind w:right="0"/>
      </w:pPr>
      <w:r>
        <w:t>研发条件，包括研发基础、项目人员编制、经费预算等；</w:t>
      </w:r>
    </w:p>
    <w:p w14:paraId="6C8DE289">
      <w:pPr>
        <w:numPr>
          <w:ilvl w:val="0"/>
          <w:numId w:val="9"/>
        </w:numPr>
        <w:spacing w:after="85" w:line="259" w:lineRule="auto"/>
        <w:ind w:right="0"/>
      </w:pPr>
      <w:r>
        <w:t>项目进度安排，包括研发准备、技术攻关、试验测试等进度安排；</w:t>
      </w:r>
    </w:p>
    <w:p w14:paraId="0BCE6636">
      <w:pPr>
        <w:numPr>
          <w:ilvl w:val="0"/>
          <w:numId w:val="9"/>
        </w:numPr>
        <w:spacing w:after="181" w:line="259" w:lineRule="auto"/>
        <w:ind w:right="0"/>
      </w:pPr>
      <w:r>
        <w:t>成果形式与考核指标。</w:t>
      </w:r>
    </w:p>
    <w:p w14:paraId="5A174F2E">
      <w:pPr>
        <w:spacing w:after="109" w:line="259" w:lineRule="auto"/>
        <w:ind w:left="559" w:right="0" w:firstLine="0"/>
      </w:pPr>
      <w:r>
        <w:t>2.研发项目的实施</w:t>
      </w:r>
    </w:p>
    <w:p w14:paraId="1672906C">
      <w:pPr>
        <w:ind w:left="-15" w:right="0"/>
      </w:pPr>
      <w:r>
        <w:t>为保证研发项目得以有效实施，并便利研发费用加计扣除政策享受，建议企业建立规范的研发项目实施管理制度。例如，企业可以根据实际情况，采取以下管理制度：</w:t>
      </w:r>
    </w:p>
    <w:p w14:paraId="58E2B377">
      <w:pPr>
        <w:numPr>
          <w:ilvl w:val="0"/>
          <w:numId w:val="10"/>
        </w:numPr>
        <w:ind w:right="0"/>
      </w:pPr>
      <w:r>
        <w:t>研发项目归口管理制度。企业可设立研发项目的归口管理部门，对项目实施全程管理，包括项目计划书的编制、项目招标、合同签订与管理、科技成果鉴定、资料归档等工作。</w:t>
      </w:r>
    </w:p>
    <w:p w14:paraId="17440019">
      <w:pPr>
        <w:numPr>
          <w:ilvl w:val="0"/>
          <w:numId w:val="10"/>
        </w:numPr>
        <w:ind w:right="0"/>
      </w:pPr>
      <w:r>
        <w:t>项目责任人负责制度。为保证项目的顺利进行，可明确项目的管理权责，实行项目责任人负责制，并明确权利与责任。</w:t>
      </w:r>
      <w:r>
        <w:rPr>
          <w:color w:val="FF0000"/>
        </w:rPr>
        <w:t>每一个项目一般确定一或两个项目责任人</w:t>
      </w:r>
      <w:r>
        <w:t>。</w:t>
      </w:r>
    </w:p>
    <w:p w14:paraId="2695121A">
      <w:pPr>
        <w:numPr>
          <w:ilvl w:val="0"/>
          <w:numId w:val="10"/>
        </w:numPr>
        <w:ind w:right="0"/>
      </w:pPr>
      <w:r>
        <w:t>研发费用全流程记录制度。为保证研发费用的准确归集，从每个研发项目开始实施，建议研发部门与财务部门协调配合，对该项目的资源投入情况进行全流程记录。例如，通过工时系统对研发活动人员参与某一研发项目的工时进行记录、通过材料领料单对某一研发项目的研发领用材料进行记录等。</w:t>
      </w:r>
    </w:p>
    <w:p w14:paraId="090A4129">
      <w:pPr>
        <w:numPr>
          <w:ilvl w:val="0"/>
          <w:numId w:val="10"/>
        </w:numPr>
        <w:spacing w:after="85"/>
        <w:ind w:right="0"/>
      </w:pPr>
      <w:r>
        <w:t>研发进度记录制度。例如，可对研发新材</w:t>
      </w:r>
      <w:r>
        <w:rPr>
          <w:color w:val="FF0000"/>
        </w:rPr>
        <w:t>料关键技术攻关节点进行记录，</w:t>
      </w:r>
      <w:r>
        <w:t>包括技术路线、使用的关键设备和材料等；可</w:t>
      </w:r>
      <w:r>
        <w:rPr>
          <w:color w:val="FF0000"/>
        </w:rPr>
        <w:t>对新材料是否达到某一关键技术指标的测试过程进行记录</w:t>
      </w:r>
      <w:r>
        <w:t>，包括测试的方法、结果、结论等。（5）项目调整制度。在项目的执行过程中，如果出现技术路线或主要研究内容调整、主要研究人员变动以及</w:t>
      </w:r>
      <w:r>
        <w:rPr>
          <w:color w:val="FF0000"/>
        </w:rPr>
        <w:t>其他可能影响项目顺利完成的重大事项</w:t>
      </w:r>
      <w:r>
        <w:t>，项目责任人可及时向归口的科研管理部门报告，并按规定的程序进行项目变更、暂停、终止等。</w:t>
      </w:r>
    </w:p>
    <w:p w14:paraId="0ACD76A6">
      <w:pPr>
        <w:spacing w:after="109" w:line="259" w:lineRule="auto"/>
        <w:ind w:left="559" w:right="0" w:firstLine="0"/>
      </w:pPr>
      <w:r>
        <w:t>3.研发项目的结题</w:t>
      </w:r>
    </w:p>
    <w:p w14:paraId="65505AE3">
      <w:pPr>
        <w:spacing w:after="85"/>
        <w:ind w:left="-15" w:right="0"/>
      </w:pPr>
      <w:r>
        <w:t>研发项目结束后，建议项目组形成结题报告，包括项目进展情况、知识产权成果、研发成果先进性、关键技术突破点、失败原因分析、技术测试报告等内容；建议财务部门形成财务决算报告。</w:t>
      </w:r>
    </w:p>
    <w:p w14:paraId="0FBF636F">
      <w:pPr>
        <w:spacing w:after="109" w:line="259" w:lineRule="auto"/>
        <w:ind w:left="559" w:right="0" w:firstLine="0"/>
      </w:pPr>
      <w:r>
        <w:t>4.研发项目的资料管理</w:t>
      </w:r>
    </w:p>
    <w:p w14:paraId="43933800">
      <w:pPr>
        <w:spacing w:after="338" w:line="324" w:lineRule="auto"/>
        <w:ind w:left="-15" w:right="0"/>
        <w:jc w:val="both"/>
      </w:pPr>
      <w:r>
        <w:t>建议企业建立研发项目资料全程规范化管理制度，明确企业内部相关部门的资料管理职能。每个研发项目从立项、实施到结题形成的各类文件、资料等，由相关部门归档管理，从而为享受研发费用加计扣除政策提供资料支撑。</w:t>
      </w:r>
    </w:p>
    <w:p w14:paraId="4306438E">
      <w:pPr>
        <w:pStyle w:val="2"/>
        <w:spacing w:after="567"/>
        <w:ind w:right="142"/>
      </w:pPr>
      <w:bookmarkStart w:id="12" w:name="_Toc30238"/>
      <w:r>
        <w:t>四、研发费用加计扣除政策的主要内容</w:t>
      </w:r>
      <w:bookmarkEnd w:id="12"/>
    </w:p>
    <w:p w14:paraId="57DDB434">
      <w:pPr>
        <w:pStyle w:val="3"/>
        <w:ind w:left="554"/>
      </w:pPr>
      <w:bookmarkStart w:id="13" w:name="_Toc30239"/>
      <w:r>
        <w:t>（一）政策适用范围</w:t>
      </w:r>
      <w:bookmarkEnd w:id="13"/>
    </w:p>
    <w:p w14:paraId="510CEC82">
      <w:pPr>
        <w:ind w:left="-15" w:right="0"/>
      </w:pPr>
      <w:r>
        <w:t>研发费用加计扣除政策适用于会计核算健全、实行查账征收并能够准确归集研发费用的居民企业。此外，为获得创新性、创意性、突破性的产</w:t>
      </w:r>
    </w:p>
    <w:p w14:paraId="344E9F00">
      <w:pPr>
        <w:spacing w:after="85" w:line="259" w:lineRule="auto"/>
        <w:ind w:left="-15" w:right="0" w:firstLine="0"/>
      </w:pPr>
      <w:r>
        <w:t>品进行创意设计活动的企业发生的相关费用，也可按照规定进行加计扣除。</w:t>
      </w:r>
    </w:p>
    <w:p w14:paraId="6836DB5C">
      <w:pPr>
        <w:spacing w:after="85" w:line="259" w:lineRule="auto"/>
        <w:ind w:left="559" w:right="0" w:firstLine="0"/>
      </w:pPr>
      <w:r>
        <w:t>1.负面清单行业企业不能享受研发费用加计扣除政策</w:t>
      </w:r>
    </w:p>
    <w:p w14:paraId="18789FCF">
      <w:pPr>
        <w:ind w:left="-15" w:right="0"/>
      </w:pPr>
      <w:r>
        <w:t>财税〔2015〕119号第四条列举了不适用研发费用加计扣除政策的行业，包括烟草制造业、住宿和餐饮业、批发和零售业、房地产业、租赁和商务服务业、娱乐业、财政部和国家税务总局规定的其他行业。上述行业以《国民经济行业分类与代码（GB/T4754-2011）》为准，并随之更新（目前最新版本为《国民经济行业分类与代码（GB/T4754-2017）》）。 2015年第97号公告将负面清单行业企业的判断口径具体细化为：以列举的不适用税前加计扣除政策行业为主营业务，其研发费用发生当年的主营业务收入占企业按税法第六条规定计算的收入总额减除不征税收入和投资收益的余额50%(不含)以上的企业。从收入总额中减除的投资收益包括税法规定的股息、红利等权益性投资收益以及股权转让所得。</w:t>
      </w:r>
    </w:p>
    <w:p w14:paraId="015DFE74">
      <w:pPr>
        <w:ind w:left="-15" w:right="0"/>
      </w:pPr>
      <w:r>
        <w:t>在计算收入总额时，应注意收入总额的完整性和准确性，税收上确认的收入总额不能简单等同于会计收入，应重点关注税会收入确认差异及调整情况。</w:t>
      </w:r>
      <w:r>
        <w:rPr>
          <w:color w:val="FF0000"/>
        </w:rPr>
        <w:t>在判定主营业务时，应将企业当年取得的各项不适用加计扣除行业业务收入汇总确定</w:t>
      </w:r>
      <w:r>
        <w:t>。</w:t>
      </w:r>
    </w:p>
    <w:p w14:paraId="7AFA0534">
      <w:pPr>
        <w:spacing w:after="85" w:line="259" w:lineRule="auto"/>
        <w:ind w:left="559" w:right="0" w:firstLine="0"/>
      </w:pPr>
      <w:r>
        <w:t>2.核定征收企业不能享受加计扣除政策</w:t>
      </w:r>
    </w:p>
    <w:p w14:paraId="1B1D8404">
      <w:pPr>
        <w:ind w:left="-15" w:right="0"/>
      </w:pPr>
      <w:r>
        <w:t>根据财税〔2015〕119号文件规定，研发费用加计扣除政策适用于会计核算健全、实行查账征收并能够准确归集研发费用的居民企业。按核定征收方式缴纳企业所得税的企业不能享受此项优惠政策。</w:t>
      </w:r>
    </w:p>
    <w:p w14:paraId="40A37D19">
      <w:pPr>
        <w:spacing w:after="85" w:line="259" w:lineRule="auto"/>
        <w:ind w:left="559" w:right="0" w:firstLine="0"/>
      </w:pPr>
      <w:r>
        <w:t>3.创意设计活动发生的相关费用可以享受加计扣除政策</w:t>
      </w:r>
    </w:p>
    <w:p w14:paraId="64E7FF93">
      <w:pPr>
        <w:ind w:left="-15" w:right="0"/>
      </w:pPr>
      <w:r>
        <w:t>为落实《国务院关于推进文化创意和设计服务与相关产业融合发展的若干意见》（国发〔2014〕10号）文件精神，财税〔2015〕119号特别规定了企业为获得创新性、创意性、突破性的产品进行创意设计活动而发生的相关费用，可按照规定进行加计扣除。</w:t>
      </w:r>
    </w:p>
    <w:p w14:paraId="525AD4DA">
      <w:pPr>
        <w:ind w:left="-15" w:right="0"/>
      </w:pPr>
      <w:r>
        <w:t>创意设计活动是指多媒体软件、动漫游戏软件开发，数字动漫、游戏设计制作；房屋建筑工程设计（绿色建筑评价标准为三星）、风景园林工程专项设计；工业设计、多媒体设计、动漫及衍生产品设计、模型设计等。</w:t>
      </w:r>
    </w:p>
    <w:p w14:paraId="0C4A1569">
      <w:pPr>
        <w:spacing w:after="241"/>
        <w:ind w:left="-15" w:right="0"/>
      </w:pPr>
      <w:r>
        <w:t>值得一提的是，财税〔2015〕119号文件虽允许</w:t>
      </w:r>
      <w:r>
        <w:rPr>
          <w:color w:val="FF0000"/>
        </w:rPr>
        <w:t>“创意设计活动”适用加计扣除政策，但其属于一项单独的优惠政策，并不代表此类“创意设计活动”属于研发活动</w:t>
      </w:r>
      <w:r>
        <w:t>。</w:t>
      </w:r>
    </w:p>
    <w:p w14:paraId="56017441">
      <w:pPr>
        <w:pStyle w:val="3"/>
        <w:ind w:left="554"/>
      </w:pPr>
      <w:bookmarkStart w:id="14" w:name="_Toc30240"/>
      <w:r>
        <w:t>（二）研发费用加计扣除归集口径</w:t>
      </w:r>
      <w:bookmarkEnd w:id="14"/>
    </w:p>
    <w:p w14:paraId="0BE91613">
      <w:pPr>
        <w:spacing w:after="85" w:line="259" w:lineRule="auto"/>
        <w:ind w:left="559" w:right="0" w:firstLine="0"/>
      </w:pPr>
      <w:r>
        <w:t>1.可加计扣除的研发费用范围</w:t>
      </w:r>
    </w:p>
    <w:p w14:paraId="3D883D9B">
      <w:pPr>
        <w:numPr>
          <w:ilvl w:val="0"/>
          <w:numId w:val="11"/>
        </w:numPr>
        <w:ind w:right="0"/>
      </w:pPr>
      <w:r>
        <w:t>人员人工费用。指直接从事研发活动人员的工资薪金、基本养老保险费、基本医疗保险费、失业保险费、工伤保险费、生育保险费和住房公积金，以及外聘研发人员的劳务费用。</w:t>
      </w:r>
    </w:p>
    <w:p w14:paraId="3D40A697">
      <w:pPr>
        <w:ind w:left="-15" w:right="0"/>
      </w:pPr>
      <w:r>
        <w:t>直接从事研发活动人员分为研究人员、技术人员和辅助人员三类。直接从事研发活动人员既可以是本企业的员工，也可以是外聘研发人员。外聘研发人员是指与本企业或劳务派遣企业签订劳务用工协议（合同）和</w:t>
      </w:r>
      <w:r>
        <w:rPr>
          <w:b/>
          <w:bCs/>
          <w:color w:val="FF0000"/>
        </w:rPr>
        <w:t>临时聘用的研究人员、技术人员、辅助人员</w:t>
      </w:r>
      <w:r>
        <w:t>。接受劳务派遣的企业按照协议（合同）约定支付给劳务派遣企业，且由劳务派遣企业实际支付给外聘研发人员的工资薪金等费用，属于外聘研发人员的劳务费用。工资薪金包括按规定可以在税前扣除的对研发人员股权激励的支出。</w:t>
      </w:r>
    </w:p>
    <w:p w14:paraId="1F3D91F6">
      <w:pPr>
        <w:numPr>
          <w:ilvl w:val="0"/>
          <w:numId w:val="11"/>
        </w:numPr>
        <w:ind w:right="0"/>
      </w:pPr>
      <w:r>
        <w:t>直接投入费用。指研发活动直接消耗的材料、燃料和动力费用；用于中间试验和产品试制的模具、工艺装备开发及制造费，不构成固定资产的样品、样机及一般测试手段购置费，试制产品的检验费；用于研发活动的仪器、设备的运行维护、调整、检验、维修等费用，以及通过经营租赁方式租入的用于研发活动的仪器、设备租赁费。</w:t>
      </w:r>
    </w:p>
    <w:p w14:paraId="0F7A78FD">
      <w:pPr>
        <w:numPr>
          <w:ilvl w:val="0"/>
          <w:numId w:val="11"/>
        </w:numPr>
        <w:spacing w:after="85" w:line="259" w:lineRule="auto"/>
        <w:ind w:right="0"/>
      </w:pPr>
      <w:r>
        <w:t>折旧费用。指用于研发活动的仪器、设备的折旧费。</w:t>
      </w:r>
    </w:p>
    <w:p w14:paraId="3C0FEB91">
      <w:pPr>
        <w:numPr>
          <w:ilvl w:val="0"/>
          <w:numId w:val="11"/>
        </w:numPr>
        <w:ind w:right="0"/>
      </w:pPr>
      <w:r>
        <w:t>无形资产摊销。指用于研发活动的软件、专利权、非专利技术（包括许可证、专有技术、设计和计算方法等）的摊销费用。</w:t>
      </w:r>
    </w:p>
    <w:p w14:paraId="59237839">
      <w:pPr>
        <w:numPr>
          <w:ilvl w:val="0"/>
          <w:numId w:val="11"/>
        </w:numPr>
        <w:ind w:right="0"/>
      </w:pPr>
      <w:r>
        <w:t>新产品设计费、新工艺规程制定费、新药研制的临床试验费、勘探开发技术的现场试验费。指企业在新产品设计、新工艺规程制定、新药研制的临床试验、勘探开发技术的现场试验过程中发生的与开展该项活动有关的各类费用。</w:t>
      </w:r>
    </w:p>
    <w:p w14:paraId="1147AC97">
      <w:pPr>
        <w:numPr>
          <w:ilvl w:val="0"/>
          <w:numId w:val="11"/>
        </w:numPr>
        <w:spacing w:after="74"/>
        <w:ind w:right="0"/>
      </w:pPr>
      <w:r>
        <w:t>其他相关费用。指与研发活动直接相关的其他费用，如技术图书资料费、资料翻译费、专家咨询费、高新科技研发保险费，研发成果的检索、分析、评议、论证、鉴定、评审、评估、验收费用，知识产权的申请费、注册费、代理费，差旅费、会议费，职工福利费、补充养老保险费、</w:t>
      </w:r>
    </w:p>
    <w:p w14:paraId="72C0394F">
      <w:pPr>
        <w:spacing w:after="85" w:line="259" w:lineRule="auto"/>
        <w:ind w:left="-15" w:right="0" w:firstLine="0"/>
      </w:pPr>
      <w:r>
        <w:t>补充医疗保险费。此类费用总额不得超过可加计扣除研发费用总额的10%。</w:t>
      </w:r>
    </w:p>
    <w:p w14:paraId="157A0585">
      <w:pPr>
        <w:spacing w:after="85" w:line="259" w:lineRule="auto"/>
        <w:ind w:left="559" w:right="0" w:firstLine="0"/>
      </w:pPr>
      <w:r>
        <w:t>2.研发费用的会计核算、高新技术企业认定和加计扣除口径对比</w:t>
      </w:r>
    </w:p>
    <w:p w14:paraId="4E2F4A45">
      <w:pPr>
        <w:ind w:left="-15" w:right="0"/>
      </w:pPr>
      <w:r>
        <w:t>目前研发费用主要有三个口径，一是会计核算口径，主要由《财政部关于企业加强研发费用财务管理的若干意见》（财企〔2007〕194号）规范；二是高新技术企业认定口径，由《科技部 财政部 国家税务总局关于修订印发〈高新技术企业认定管理工作指引〉的通知》（国科发火〔2016〕195 号）规范；三是加计扣除口径，由财税〔2015〕119号和2015年第97号公告、2017年第40号公告等文件规范。</w:t>
      </w:r>
    </w:p>
    <w:p w14:paraId="7ACCCAD5">
      <w:pPr>
        <w:ind w:left="-15" w:right="0"/>
        <w:rPr>
          <w:color w:val="FF0000"/>
        </w:rPr>
      </w:pPr>
      <w:r>
        <w:rPr>
          <w:color w:val="FF0000"/>
        </w:rPr>
        <w:t>三个研发费用归集口径相比较，存在一定差异（见表5）。形成差异的主要原因如下：</w:t>
      </w:r>
    </w:p>
    <w:p w14:paraId="3E3A080D">
      <w:pPr>
        <w:ind w:left="-15" w:right="0"/>
      </w:pPr>
      <w:r>
        <w:t>一是会计口径的研发费用，其主要目的是为了准确核算研发活动支出，而企业研发活动是企业根据自身生产经营情况自行判断的，除该项活动应属于研发活动外，并无过多限制条件，企业在产品、技术、材料、工艺、标准的研发过程中发生的各项费用均可计入研发费用。</w:t>
      </w:r>
    </w:p>
    <w:p w14:paraId="65FB4502">
      <w:pPr>
        <w:ind w:left="-15" w:right="0"/>
      </w:pPr>
      <w:r>
        <w:t>二是高新技术企业认定口径的研发费用，其主要目的是为了判断企业研发投入强度、科技实力是否达到高新技术企业标准。为了保证口径统一，高新技术企业认定口径对研发费用有明确的范围，且对其他相关费用等部分费用有一定的限制。</w:t>
      </w:r>
    </w:p>
    <w:p w14:paraId="61F86E99">
      <w:pPr>
        <w:spacing w:after="85"/>
        <w:ind w:left="-15" w:right="0"/>
      </w:pPr>
      <w:r>
        <w:t>三是研发费用加计扣除政策口径的研发费用，其主要目的是为了细化研发费用可以加计扣除的范围，引导企业加大核心研发投入。可加计扣除范围针对企业直接的、核心的研发投入，对其他相关费用有一定的比例限制。应关注的是，允许加计扣除的研发费用范围采取的是正列举方式，即政策规定中没有列举的研发费用，不可以加计扣除。</w:t>
      </w:r>
    </w:p>
    <w:p w14:paraId="51AA3395">
      <w:pPr>
        <w:spacing w:line="259" w:lineRule="auto"/>
        <w:ind w:left="430" w:right="0" w:hanging="10"/>
        <w:jc w:val="center"/>
      </w:pPr>
      <w:r>
        <w:rPr>
          <w:rFonts w:ascii="黑体" w:hAnsi="黑体" w:eastAsia="黑体" w:cs="黑体"/>
        </w:rPr>
        <w:t>表5 研发费用归集口径比较</w:t>
      </w:r>
    </w:p>
    <w:p w14:paraId="02C1EA4A">
      <w:pPr>
        <w:spacing w:after="0" w:line="259" w:lineRule="auto"/>
        <w:ind w:left="-1418" w:right="10630" w:firstLine="0"/>
      </w:pPr>
    </w:p>
    <w:tbl>
      <w:tblPr>
        <w:tblStyle w:val="11"/>
        <w:tblW w:w="9711" w:type="dxa"/>
        <w:tblInd w:w="-321" w:type="dxa"/>
        <w:tblLayout w:type="autofit"/>
        <w:tblCellMar>
          <w:top w:w="121" w:type="dxa"/>
          <w:left w:w="107" w:type="dxa"/>
          <w:bottom w:w="0" w:type="dxa"/>
          <w:right w:w="0" w:type="dxa"/>
        </w:tblCellMar>
      </w:tblPr>
      <w:tblGrid>
        <w:gridCol w:w="619"/>
        <w:gridCol w:w="2512"/>
        <w:gridCol w:w="2500"/>
        <w:gridCol w:w="2325"/>
        <w:gridCol w:w="1755"/>
      </w:tblGrid>
      <w:tr w14:paraId="160372A5">
        <w:tblPrEx>
          <w:tblCellMar>
            <w:top w:w="121" w:type="dxa"/>
            <w:left w:w="107" w:type="dxa"/>
            <w:bottom w:w="0" w:type="dxa"/>
            <w:right w:w="0" w:type="dxa"/>
          </w:tblCellMar>
        </w:tblPrEx>
        <w:trPr>
          <w:trHeight w:val="823" w:hRule="atLeast"/>
        </w:trPr>
        <w:tc>
          <w:tcPr>
            <w:tcW w:w="619" w:type="dxa"/>
            <w:tcBorders>
              <w:top w:val="single" w:color="000000" w:sz="12" w:space="0"/>
              <w:left w:val="single" w:color="000000" w:sz="12" w:space="0"/>
              <w:bottom w:val="single" w:color="000000" w:sz="6" w:space="0"/>
              <w:right w:val="single" w:color="000000" w:sz="6" w:space="0"/>
            </w:tcBorders>
          </w:tcPr>
          <w:p w14:paraId="12E0D92E">
            <w:pPr>
              <w:spacing w:after="0" w:line="259" w:lineRule="auto"/>
              <w:ind w:right="70" w:firstLine="0"/>
              <w:jc w:val="center"/>
            </w:pPr>
            <w:r>
              <w:rPr>
                <w:rFonts w:ascii="宋体" w:hAnsi="宋体" w:eastAsia="宋体" w:cs="宋体"/>
                <w:sz w:val="24"/>
              </w:rPr>
              <w:t>项目</w:t>
            </w:r>
          </w:p>
        </w:tc>
        <w:tc>
          <w:tcPr>
            <w:tcW w:w="2512" w:type="dxa"/>
            <w:tcBorders>
              <w:top w:val="single" w:color="000000" w:sz="12" w:space="0"/>
              <w:left w:val="single" w:color="000000" w:sz="6" w:space="0"/>
              <w:bottom w:val="single" w:color="000000" w:sz="6" w:space="0"/>
              <w:right w:val="single" w:color="000000" w:sz="6" w:space="0"/>
            </w:tcBorders>
            <w:vAlign w:val="center"/>
          </w:tcPr>
          <w:p w14:paraId="4A7CFFFC">
            <w:pPr>
              <w:spacing w:after="0" w:line="259" w:lineRule="auto"/>
              <w:ind w:left="188" w:right="0" w:firstLine="0"/>
            </w:pPr>
            <w:r>
              <w:rPr>
                <w:rFonts w:ascii="宋体" w:hAnsi="宋体" w:eastAsia="宋体" w:cs="宋体"/>
                <w:sz w:val="24"/>
              </w:rPr>
              <w:t>研发费用加计扣除</w:t>
            </w:r>
          </w:p>
        </w:tc>
        <w:tc>
          <w:tcPr>
            <w:tcW w:w="2500" w:type="dxa"/>
            <w:tcBorders>
              <w:top w:val="single" w:color="000000" w:sz="12" w:space="0"/>
              <w:left w:val="single" w:color="000000" w:sz="6" w:space="0"/>
              <w:bottom w:val="single" w:color="000000" w:sz="6" w:space="0"/>
              <w:right w:val="single" w:color="000000" w:sz="6" w:space="0"/>
            </w:tcBorders>
            <w:vAlign w:val="center"/>
          </w:tcPr>
          <w:p w14:paraId="6148CC83">
            <w:pPr>
              <w:spacing w:after="0" w:line="259" w:lineRule="auto"/>
              <w:ind w:left="182" w:right="0" w:firstLine="0"/>
            </w:pPr>
            <w:r>
              <w:rPr>
                <w:rFonts w:ascii="宋体" w:hAnsi="宋体" w:eastAsia="宋体" w:cs="宋体"/>
                <w:sz w:val="24"/>
              </w:rPr>
              <w:t>高新技术企业认定</w:t>
            </w:r>
          </w:p>
        </w:tc>
        <w:tc>
          <w:tcPr>
            <w:tcW w:w="2325" w:type="dxa"/>
            <w:tcBorders>
              <w:top w:val="single" w:color="000000" w:sz="12" w:space="0"/>
              <w:left w:val="single" w:color="000000" w:sz="6" w:space="0"/>
              <w:bottom w:val="single" w:color="000000" w:sz="6" w:space="0"/>
              <w:right w:val="single" w:color="000000" w:sz="6" w:space="0"/>
            </w:tcBorders>
            <w:vAlign w:val="center"/>
          </w:tcPr>
          <w:p w14:paraId="24B19CC7">
            <w:pPr>
              <w:spacing w:after="0" w:line="259" w:lineRule="auto"/>
              <w:ind w:right="108" w:firstLine="0"/>
              <w:jc w:val="center"/>
            </w:pPr>
            <w:r>
              <w:rPr>
                <w:rFonts w:ascii="宋体" w:hAnsi="宋体" w:eastAsia="宋体" w:cs="宋体"/>
                <w:sz w:val="24"/>
              </w:rPr>
              <w:t>会计规定</w:t>
            </w:r>
          </w:p>
        </w:tc>
        <w:tc>
          <w:tcPr>
            <w:tcW w:w="1755" w:type="dxa"/>
            <w:tcBorders>
              <w:top w:val="single" w:color="000000" w:sz="12" w:space="0"/>
              <w:left w:val="single" w:color="000000" w:sz="6" w:space="0"/>
              <w:bottom w:val="single" w:color="000000" w:sz="6" w:space="0"/>
              <w:right w:val="single" w:color="000000" w:sz="12" w:space="0"/>
            </w:tcBorders>
            <w:vAlign w:val="center"/>
          </w:tcPr>
          <w:p w14:paraId="21677E4F">
            <w:pPr>
              <w:spacing w:after="0" w:line="259" w:lineRule="auto"/>
              <w:ind w:right="111" w:firstLine="0"/>
              <w:jc w:val="center"/>
            </w:pPr>
            <w:r>
              <w:rPr>
                <w:rFonts w:ascii="宋体" w:hAnsi="宋体" w:eastAsia="宋体" w:cs="宋体"/>
                <w:sz w:val="24"/>
              </w:rPr>
              <w:t>备注</w:t>
            </w:r>
          </w:p>
        </w:tc>
      </w:tr>
      <w:tr w14:paraId="4910DE8C">
        <w:tblPrEx>
          <w:tblCellMar>
            <w:top w:w="121" w:type="dxa"/>
            <w:left w:w="107" w:type="dxa"/>
            <w:bottom w:w="0" w:type="dxa"/>
            <w:right w:w="0" w:type="dxa"/>
          </w:tblCellMar>
        </w:tblPrEx>
        <w:trPr>
          <w:trHeight w:val="3215" w:hRule="atLeast"/>
        </w:trPr>
        <w:tc>
          <w:tcPr>
            <w:tcW w:w="619" w:type="dxa"/>
            <w:tcBorders>
              <w:top w:val="single" w:color="000000" w:sz="6" w:space="0"/>
              <w:left w:val="single" w:color="000000" w:sz="12" w:space="0"/>
              <w:bottom w:val="single" w:color="000000" w:sz="6" w:space="0"/>
              <w:right w:val="single" w:color="000000" w:sz="6" w:space="0"/>
            </w:tcBorders>
            <w:vAlign w:val="center"/>
          </w:tcPr>
          <w:p w14:paraId="1004C2A6">
            <w:pPr>
              <w:spacing w:after="0" w:line="259" w:lineRule="auto"/>
              <w:ind w:right="70" w:firstLine="0"/>
              <w:jc w:val="center"/>
            </w:pPr>
            <w:r>
              <w:rPr>
                <w:rFonts w:ascii="宋体" w:hAnsi="宋体" w:eastAsia="宋体" w:cs="宋体"/>
                <w:sz w:val="24"/>
              </w:rPr>
              <w:t>人员人工费用</w:t>
            </w:r>
          </w:p>
        </w:tc>
        <w:tc>
          <w:tcPr>
            <w:tcW w:w="2512" w:type="dxa"/>
            <w:tcBorders>
              <w:top w:val="single" w:color="000000" w:sz="6" w:space="0"/>
              <w:left w:val="single" w:color="000000" w:sz="6" w:space="0"/>
              <w:bottom w:val="single" w:color="000000" w:sz="6" w:space="0"/>
              <w:right w:val="single" w:color="000000" w:sz="6" w:space="0"/>
            </w:tcBorders>
          </w:tcPr>
          <w:p w14:paraId="3E31E0DE">
            <w:pPr>
              <w:spacing w:after="0" w:line="259" w:lineRule="auto"/>
              <w:ind w:left="1" w:right="0" w:firstLine="0"/>
            </w:pPr>
            <w:r>
              <w:rPr>
                <w:rFonts w:ascii="宋体" w:hAnsi="宋体" w:eastAsia="宋体" w:cs="宋体"/>
                <w:sz w:val="24"/>
              </w:rPr>
              <w:t>直接从事研发活动人员的工资薪金、基本养老保险费、基本医疗保险费、失业保险费、工伤保险费、生育保险费和住房公积金，以及外聘研发人员的劳务费用。</w:t>
            </w:r>
          </w:p>
        </w:tc>
        <w:tc>
          <w:tcPr>
            <w:tcW w:w="2500" w:type="dxa"/>
            <w:tcBorders>
              <w:top w:val="single" w:color="000000" w:sz="6" w:space="0"/>
              <w:left w:val="single" w:color="000000" w:sz="6" w:space="0"/>
              <w:bottom w:val="single" w:color="000000" w:sz="6" w:space="0"/>
              <w:right w:val="single" w:color="000000" w:sz="6" w:space="0"/>
            </w:tcBorders>
            <w:vAlign w:val="center"/>
          </w:tcPr>
          <w:p w14:paraId="323219D5">
            <w:pPr>
              <w:spacing w:after="2" w:line="306" w:lineRule="auto"/>
              <w:ind w:left="2" w:right="0" w:firstLine="0"/>
            </w:pPr>
            <w:r>
              <w:rPr>
                <w:rFonts w:ascii="宋体" w:hAnsi="宋体" w:eastAsia="宋体" w:cs="宋体"/>
                <w:sz w:val="24"/>
              </w:rPr>
              <w:t>企业科技人员的工资薪金、基本养老保险</w:t>
            </w:r>
          </w:p>
          <w:p w14:paraId="61141C24">
            <w:pPr>
              <w:spacing w:after="0" w:line="259" w:lineRule="auto"/>
              <w:ind w:left="2" w:right="-9" w:firstLine="0"/>
            </w:pPr>
            <w:r>
              <w:rPr>
                <w:rFonts w:ascii="宋体" w:hAnsi="宋体" w:eastAsia="宋体" w:cs="宋体"/>
                <w:sz w:val="24"/>
              </w:rPr>
              <w:t>费、基本医疗保险费、失业保险费、工伤保险费、生育保险费和住房公积金，以及外聘科技人员的劳务费用。</w:t>
            </w:r>
          </w:p>
        </w:tc>
        <w:tc>
          <w:tcPr>
            <w:tcW w:w="2325" w:type="dxa"/>
            <w:tcBorders>
              <w:top w:val="single" w:color="000000" w:sz="6" w:space="0"/>
              <w:left w:val="single" w:color="000000" w:sz="6" w:space="0"/>
              <w:bottom w:val="single" w:color="000000" w:sz="6" w:space="0"/>
              <w:right w:val="single" w:color="000000" w:sz="6" w:space="0"/>
            </w:tcBorders>
            <w:vAlign w:val="center"/>
          </w:tcPr>
          <w:p w14:paraId="7FD53447">
            <w:pPr>
              <w:spacing w:after="64" w:line="259" w:lineRule="auto"/>
              <w:ind w:right="0" w:firstLine="0"/>
            </w:pPr>
            <w:r>
              <w:rPr>
                <w:rFonts w:ascii="宋体" w:hAnsi="宋体" w:eastAsia="宋体" w:cs="宋体"/>
                <w:sz w:val="24"/>
              </w:rPr>
              <w:t>企业在职研发人员</w:t>
            </w:r>
          </w:p>
          <w:p w14:paraId="4E4EACAD">
            <w:pPr>
              <w:spacing w:after="0" w:line="259" w:lineRule="auto"/>
              <w:ind w:right="-12" w:firstLine="0"/>
            </w:pPr>
            <w:r>
              <w:rPr>
                <w:rFonts w:ascii="宋体" w:hAnsi="宋体" w:eastAsia="宋体" w:cs="宋体"/>
                <w:sz w:val="24"/>
              </w:rPr>
              <w:t>的工资、奖金、津贴、补贴、社会保险费、住房公积金等人工费用以及外聘研发人员的劳务费用。</w:t>
            </w:r>
          </w:p>
        </w:tc>
        <w:tc>
          <w:tcPr>
            <w:tcW w:w="1755" w:type="dxa"/>
            <w:tcBorders>
              <w:top w:val="single" w:color="000000" w:sz="6" w:space="0"/>
              <w:left w:val="single" w:color="000000" w:sz="6" w:space="0"/>
              <w:bottom w:val="single" w:color="000000" w:sz="6" w:space="0"/>
              <w:right w:val="single" w:color="000000" w:sz="12" w:space="0"/>
            </w:tcBorders>
            <w:vAlign w:val="center"/>
          </w:tcPr>
          <w:p w14:paraId="26B7A0A5">
            <w:pPr>
              <w:spacing w:after="0" w:line="308" w:lineRule="auto"/>
              <w:ind w:left="1" w:right="0" w:firstLine="0"/>
              <w:rPr>
                <w:color w:val="FF0000"/>
              </w:rPr>
            </w:pPr>
            <w:r>
              <w:rPr>
                <w:rFonts w:ascii="宋体" w:hAnsi="宋体" w:eastAsia="宋体" w:cs="宋体"/>
                <w:color w:val="FF0000"/>
                <w:sz w:val="24"/>
              </w:rPr>
              <w:t>会计核算范围大于税收范</w:t>
            </w:r>
          </w:p>
          <w:p w14:paraId="71F2047C">
            <w:pPr>
              <w:spacing w:after="0" w:line="259" w:lineRule="auto"/>
              <w:ind w:left="1" w:right="0" w:firstLine="0"/>
            </w:pPr>
            <w:r>
              <w:rPr>
                <w:rFonts w:ascii="宋体" w:hAnsi="宋体" w:eastAsia="宋体" w:cs="宋体"/>
                <w:color w:val="FF0000"/>
                <w:sz w:val="24"/>
              </w:rPr>
              <w:t>围。高新技术企业人员人工费用归集对象是科技人员。</w:t>
            </w:r>
          </w:p>
        </w:tc>
      </w:tr>
      <w:tr w14:paraId="332F26DE">
        <w:tblPrEx>
          <w:tblCellMar>
            <w:top w:w="121" w:type="dxa"/>
            <w:left w:w="107" w:type="dxa"/>
            <w:bottom w:w="0" w:type="dxa"/>
            <w:right w:w="0" w:type="dxa"/>
          </w:tblCellMar>
        </w:tblPrEx>
        <w:trPr>
          <w:trHeight w:val="1215" w:hRule="atLeast"/>
        </w:trPr>
        <w:tc>
          <w:tcPr>
            <w:tcW w:w="619" w:type="dxa"/>
            <w:vMerge w:val="restart"/>
            <w:tcBorders>
              <w:top w:val="single" w:color="000000" w:sz="6" w:space="0"/>
              <w:left w:val="single" w:color="000000" w:sz="12" w:space="0"/>
              <w:bottom w:val="single" w:color="000000" w:sz="6" w:space="0"/>
              <w:right w:val="single" w:color="000000" w:sz="6" w:space="0"/>
            </w:tcBorders>
            <w:vAlign w:val="center"/>
          </w:tcPr>
          <w:p w14:paraId="4EB29062">
            <w:pPr>
              <w:spacing w:after="0" w:line="259" w:lineRule="auto"/>
              <w:ind w:right="70" w:firstLine="0"/>
              <w:jc w:val="center"/>
            </w:pPr>
            <w:r>
              <w:rPr>
                <w:rFonts w:ascii="宋体" w:hAnsi="宋体" w:eastAsia="宋体" w:cs="宋体"/>
                <w:sz w:val="24"/>
              </w:rPr>
              <w:t>直接投入费用</w:t>
            </w:r>
          </w:p>
        </w:tc>
        <w:tc>
          <w:tcPr>
            <w:tcW w:w="2512" w:type="dxa"/>
            <w:tcBorders>
              <w:top w:val="single" w:color="000000" w:sz="6" w:space="0"/>
              <w:left w:val="single" w:color="000000" w:sz="6" w:space="0"/>
              <w:bottom w:val="single" w:color="000000" w:sz="6" w:space="0"/>
              <w:right w:val="single" w:color="000000" w:sz="6" w:space="0"/>
            </w:tcBorders>
          </w:tcPr>
          <w:p w14:paraId="04964D7E">
            <w:pPr>
              <w:spacing w:after="0" w:line="259" w:lineRule="auto"/>
              <w:ind w:left="1" w:right="0" w:firstLine="0"/>
            </w:pPr>
            <w:r>
              <w:rPr>
                <w:rFonts w:ascii="宋体" w:hAnsi="宋体" w:eastAsia="宋体" w:cs="宋体"/>
                <w:sz w:val="24"/>
              </w:rPr>
              <w:t>（1）研发活动直接消耗的材料、燃料和动力费用。</w:t>
            </w:r>
          </w:p>
        </w:tc>
        <w:tc>
          <w:tcPr>
            <w:tcW w:w="2500" w:type="dxa"/>
            <w:tcBorders>
              <w:top w:val="single" w:color="000000" w:sz="6" w:space="0"/>
              <w:left w:val="single" w:color="000000" w:sz="6" w:space="0"/>
              <w:bottom w:val="single" w:color="000000" w:sz="6" w:space="0"/>
              <w:right w:val="single" w:color="000000" w:sz="6" w:space="0"/>
            </w:tcBorders>
            <w:vAlign w:val="center"/>
          </w:tcPr>
          <w:p w14:paraId="525872AF">
            <w:pPr>
              <w:spacing w:after="0" w:line="259" w:lineRule="auto"/>
              <w:ind w:left="2" w:right="-11" w:firstLine="0"/>
            </w:pPr>
            <w:r>
              <w:rPr>
                <w:rFonts w:ascii="宋体" w:hAnsi="宋体" w:eastAsia="宋体" w:cs="宋体"/>
                <w:sz w:val="24"/>
              </w:rPr>
              <w:t>（1）直接消耗的材料、燃料和动力费用。</w:t>
            </w:r>
          </w:p>
        </w:tc>
        <w:tc>
          <w:tcPr>
            <w:tcW w:w="2325" w:type="dxa"/>
            <w:tcBorders>
              <w:top w:val="single" w:color="000000" w:sz="6" w:space="0"/>
              <w:left w:val="single" w:color="000000" w:sz="6" w:space="0"/>
              <w:bottom w:val="single" w:color="000000" w:sz="6" w:space="0"/>
              <w:right w:val="single" w:color="000000" w:sz="6" w:space="0"/>
            </w:tcBorders>
          </w:tcPr>
          <w:p w14:paraId="5C3ACE6A">
            <w:pPr>
              <w:spacing w:after="0" w:line="259" w:lineRule="auto"/>
              <w:ind w:right="0" w:firstLine="0"/>
            </w:pPr>
            <w:r>
              <w:rPr>
                <w:rFonts w:ascii="宋体" w:hAnsi="宋体" w:eastAsia="宋体" w:cs="宋体"/>
                <w:sz w:val="24"/>
              </w:rPr>
              <w:t>（1）研发活动直接消耗的材料、燃料和动力费用。</w:t>
            </w:r>
          </w:p>
        </w:tc>
        <w:tc>
          <w:tcPr>
            <w:tcW w:w="1755" w:type="dxa"/>
            <w:tcBorders>
              <w:top w:val="single" w:color="000000" w:sz="6" w:space="0"/>
              <w:left w:val="single" w:color="000000" w:sz="6" w:space="0"/>
              <w:bottom w:val="single" w:color="000000" w:sz="6" w:space="0"/>
              <w:right w:val="single" w:color="000000" w:sz="12" w:space="0"/>
            </w:tcBorders>
          </w:tcPr>
          <w:p w14:paraId="4C173AA3">
            <w:pPr>
              <w:spacing w:after="160" w:line="259" w:lineRule="auto"/>
              <w:ind w:right="0" w:firstLine="0"/>
            </w:pPr>
          </w:p>
        </w:tc>
      </w:tr>
      <w:tr w14:paraId="7832708A">
        <w:tblPrEx>
          <w:tblCellMar>
            <w:top w:w="121" w:type="dxa"/>
            <w:left w:w="107" w:type="dxa"/>
            <w:bottom w:w="0" w:type="dxa"/>
            <w:right w:w="0" w:type="dxa"/>
          </w:tblCellMar>
        </w:tblPrEx>
        <w:trPr>
          <w:trHeight w:val="2815" w:hRule="atLeast"/>
        </w:trPr>
        <w:tc>
          <w:tcPr>
            <w:tcW w:w="0" w:type="auto"/>
            <w:vMerge w:val="continue"/>
            <w:tcBorders>
              <w:top w:val="nil"/>
              <w:left w:val="single" w:color="000000" w:sz="12" w:space="0"/>
              <w:bottom w:val="nil"/>
              <w:right w:val="single" w:color="000000" w:sz="6" w:space="0"/>
            </w:tcBorders>
          </w:tcPr>
          <w:p w14:paraId="2D073707">
            <w:pPr>
              <w:spacing w:after="160" w:line="259" w:lineRule="auto"/>
              <w:ind w:right="0" w:firstLine="0"/>
            </w:pPr>
          </w:p>
        </w:tc>
        <w:tc>
          <w:tcPr>
            <w:tcW w:w="2512" w:type="dxa"/>
            <w:tcBorders>
              <w:top w:val="single" w:color="000000" w:sz="6" w:space="0"/>
              <w:left w:val="single" w:color="000000" w:sz="6" w:space="0"/>
              <w:bottom w:val="single" w:color="000000" w:sz="6" w:space="0"/>
              <w:right w:val="single" w:color="000000" w:sz="6" w:space="0"/>
            </w:tcBorders>
          </w:tcPr>
          <w:p w14:paraId="1DB5DF4D">
            <w:pPr>
              <w:spacing w:after="0" w:line="259" w:lineRule="auto"/>
              <w:ind w:left="1" w:right="0" w:firstLine="0"/>
            </w:pPr>
            <w:r>
              <w:rPr>
                <w:rFonts w:ascii="宋体" w:hAnsi="宋体" w:eastAsia="宋体" w:cs="宋体"/>
                <w:sz w:val="24"/>
              </w:rPr>
              <w:t>（2）用于中间试验和产品试制的模具、工艺装备开发及制造费，不构成固定资产的样品、样机及一般测试手段购置费，试制产品的检验费。</w:t>
            </w:r>
          </w:p>
        </w:tc>
        <w:tc>
          <w:tcPr>
            <w:tcW w:w="2500" w:type="dxa"/>
            <w:tcBorders>
              <w:top w:val="single" w:color="000000" w:sz="6" w:space="0"/>
              <w:left w:val="single" w:color="000000" w:sz="6" w:space="0"/>
              <w:bottom w:val="single" w:color="000000" w:sz="6" w:space="0"/>
              <w:right w:val="single" w:color="000000" w:sz="6" w:space="0"/>
            </w:tcBorders>
          </w:tcPr>
          <w:p w14:paraId="22E30538">
            <w:pPr>
              <w:spacing w:after="0" w:line="259" w:lineRule="auto"/>
              <w:ind w:left="2" w:right="-9" w:firstLine="0"/>
            </w:pPr>
            <w:r>
              <w:rPr>
                <w:rFonts w:ascii="宋体" w:hAnsi="宋体" w:eastAsia="宋体" w:cs="宋体"/>
                <w:sz w:val="24"/>
              </w:rPr>
              <w:t>（2）用于中间试验和产品试制的模具、工艺装备开发及制造费，不构成固定资产的样品、样机及一般测试手段购置费，试制产品的检验费。</w:t>
            </w:r>
          </w:p>
        </w:tc>
        <w:tc>
          <w:tcPr>
            <w:tcW w:w="2325" w:type="dxa"/>
            <w:tcBorders>
              <w:top w:val="single" w:color="000000" w:sz="6" w:space="0"/>
              <w:left w:val="single" w:color="000000" w:sz="6" w:space="0"/>
              <w:bottom w:val="single" w:color="000000" w:sz="6" w:space="0"/>
              <w:right w:val="single" w:color="000000" w:sz="6" w:space="0"/>
            </w:tcBorders>
          </w:tcPr>
          <w:p w14:paraId="217AF277">
            <w:pPr>
              <w:spacing w:after="0" w:line="259" w:lineRule="auto"/>
              <w:ind w:right="0" w:firstLine="0"/>
            </w:pPr>
            <w:r>
              <w:rPr>
                <w:rFonts w:ascii="宋体" w:hAnsi="宋体" w:eastAsia="宋体" w:cs="宋体"/>
                <w:sz w:val="24"/>
              </w:rPr>
              <w:t>（2）用于中间试验和产品试制的模具、工艺装备开发及制造费，样品、样机及一般测试手段购置费，试制产品的检验费等。</w:t>
            </w:r>
          </w:p>
        </w:tc>
        <w:tc>
          <w:tcPr>
            <w:tcW w:w="1755" w:type="dxa"/>
            <w:tcBorders>
              <w:top w:val="single" w:color="000000" w:sz="6" w:space="0"/>
              <w:left w:val="single" w:color="000000" w:sz="6" w:space="0"/>
              <w:bottom w:val="single" w:color="000000" w:sz="6" w:space="0"/>
              <w:right w:val="single" w:color="000000" w:sz="12" w:space="0"/>
            </w:tcBorders>
          </w:tcPr>
          <w:p w14:paraId="4559E37C">
            <w:pPr>
              <w:spacing w:after="160" w:line="259" w:lineRule="auto"/>
              <w:ind w:right="0" w:firstLine="0"/>
            </w:pPr>
          </w:p>
        </w:tc>
      </w:tr>
      <w:tr w14:paraId="32D14A8A">
        <w:tblPrEx>
          <w:tblCellMar>
            <w:top w:w="121" w:type="dxa"/>
            <w:left w:w="107" w:type="dxa"/>
            <w:bottom w:w="0" w:type="dxa"/>
            <w:right w:w="0" w:type="dxa"/>
          </w:tblCellMar>
        </w:tblPrEx>
        <w:trPr>
          <w:trHeight w:val="2815" w:hRule="atLeast"/>
        </w:trPr>
        <w:tc>
          <w:tcPr>
            <w:tcW w:w="0" w:type="auto"/>
            <w:vMerge w:val="continue"/>
            <w:tcBorders>
              <w:top w:val="nil"/>
              <w:left w:val="single" w:color="000000" w:sz="12" w:space="0"/>
              <w:bottom w:val="single" w:color="000000" w:sz="6" w:space="0"/>
              <w:right w:val="single" w:color="000000" w:sz="6" w:space="0"/>
            </w:tcBorders>
          </w:tcPr>
          <w:p w14:paraId="4A9577B1">
            <w:pPr>
              <w:spacing w:after="160" w:line="259" w:lineRule="auto"/>
              <w:ind w:right="0" w:firstLine="0"/>
            </w:pPr>
          </w:p>
        </w:tc>
        <w:tc>
          <w:tcPr>
            <w:tcW w:w="2512" w:type="dxa"/>
            <w:tcBorders>
              <w:top w:val="single" w:color="000000" w:sz="6" w:space="0"/>
              <w:left w:val="single" w:color="000000" w:sz="6" w:space="0"/>
              <w:bottom w:val="single" w:color="000000" w:sz="6" w:space="0"/>
              <w:right w:val="single" w:color="000000" w:sz="6" w:space="0"/>
            </w:tcBorders>
          </w:tcPr>
          <w:p w14:paraId="0E940E1E">
            <w:pPr>
              <w:spacing w:after="0" w:line="259" w:lineRule="auto"/>
              <w:ind w:left="1" w:right="0" w:firstLine="0"/>
            </w:pPr>
            <w:r>
              <w:rPr>
                <w:rFonts w:ascii="宋体" w:hAnsi="宋体" w:eastAsia="宋体" w:cs="宋体"/>
                <w:sz w:val="24"/>
              </w:rPr>
              <w:t>（3）用于研发活动的仪器、设备的运行维护、调整、检验、维修等费用，以及通过经营租赁方式租入的用于研发活动的仪器、设备租赁费。</w:t>
            </w:r>
          </w:p>
        </w:tc>
        <w:tc>
          <w:tcPr>
            <w:tcW w:w="2500" w:type="dxa"/>
            <w:tcBorders>
              <w:top w:val="single" w:color="000000" w:sz="6" w:space="0"/>
              <w:left w:val="single" w:color="000000" w:sz="6" w:space="0"/>
              <w:bottom w:val="single" w:color="000000" w:sz="6" w:space="0"/>
              <w:right w:val="single" w:color="000000" w:sz="6" w:space="0"/>
            </w:tcBorders>
          </w:tcPr>
          <w:p w14:paraId="0AC06C15">
            <w:pPr>
              <w:spacing w:after="0" w:line="259" w:lineRule="auto"/>
              <w:ind w:left="2" w:right="0" w:firstLine="0"/>
            </w:pPr>
            <w:r>
              <w:rPr>
                <w:rFonts w:ascii="宋体" w:hAnsi="宋体" w:eastAsia="宋体" w:cs="宋体"/>
                <w:sz w:val="24"/>
              </w:rPr>
              <w:t>（3）用于研究开发活动的仪器、设备的运行维护、调整、检验、检测、维修等费用，以及通过经营租赁方式租入的用于研发活动的固定资产租赁费。</w:t>
            </w:r>
          </w:p>
        </w:tc>
        <w:tc>
          <w:tcPr>
            <w:tcW w:w="2325" w:type="dxa"/>
            <w:tcBorders>
              <w:top w:val="single" w:color="000000" w:sz="6" w:space="0"/>
              <w:left w:val="single" w:color="000000" w:sz="6" w:space="0"/>
              <w:bottom w:val="single" w:color="000000" w:sz="6" w:space="0"/>
              <w:right w:val="single" w:color="000000" w:sz="6" w:space="0"/>
            </w:tcBorders>
          </w:tcPr>
          <w:p w14:paraId="7E501432">
            <w:pPr>
              <w:spacing w:after="0" w:line="259" w:lineRule="auto"/>
              <w:ind w:right="0" w:firstLine="0"/>
            </w:pPr>
            <w:r>
              <w:rPr>
                <w:rFonts w:ascii="宋体" w:hAnsi="宋体" w:eastAsia="宋体" w:cs="宋体"/>
                <w:sz w:val="24"/>
              </w:rPr>
              <w:t>（3）用于研发活动的仪器、设备、房屋等固定资产的租赁费，设备调整及检验费，以及相关固定资产的运行维护、维修等费用。</w:t>
            </w:r>
          </w:p>
        </w:tc>
        <w:tc>
          <w:tcPr>
            <w:tcW w:w="1755" w:type="dxa"/>
            <w:tcBorders>
              <w:top w:val="single" w:color="000000" w:sz="6" w:space="0"/>
              <w:left w:val="single" w:color="000000" w:sz="6" w:space="0"/>
              <w:bottom w:val="single" w:color="000000" w:sz="6" w:space="0"/>
              <w:right w:val="single" w:color="000000" w:sz="12" w:space="0"/>
            </w:tcBorders>
            <w:vAlign w:val="center"/>
          </w:tcPr>
          <w:p w14:paraId="39DC6711">
            <w:pPr>
              <w:spacing w:after="0" w:line="259" w:lineRule="auto"/>
              <w:ind w:left="1" w:right="0" w:firstLine="0"/>
            </w:pPr>
            <w:r>
              <w:rPr>
                <w:rFonts w:ascii="宋体" w:hAnsi="宋体" w:eastAsia="宋体" w:cs="宋体"/>
                <w:sz w:val="24"/>
              </w:rPr>
              <w:t>房屋租赁费不属于加计扣除范围。</w:t>
            </w:r>
          </w:p>
        </w:tc>
      </w:tr>
      <w:tr w14:paraId="26D1B409">
        <w:tblPrEx>
          <w:tblCellMar>
            <w:top w:w="121" w:type="dxa"/>
            <w:left w:w="107" w:type="dxa"/>
            <w:bottom w:w="0" w:type="dxa"/>
            <w:right w:w="0" w:type="dxa"/>
          </w:tblCellMar>
        </w:tblPrEx>
        <w:trPr>
          <w:trHeight w:val="1620" w:hRule="atLeast"/>
        </w:trPr>
        <w:tc>
          <w:tcPr>
            <w:tcW w:w="619" w:type="dxa"/>
            <w:tcBorders>
              <w:top w:val="single" w:color="000000" w:sz="6" w:space="0"/>
              <w:left w:val="single" w:color="000000" w:sz="12" w:space="0"/>
              <w:bottom w:val="single" w:color="000000" w:sz="12" w:space="0"/>
              <w:right w:val="single" w:color="000000" w:sz="6" w:space="0"/>
            </w:tcBorders>
          </w:tcPr>
          <w:p w14:paraId="4DD1102B">
            <w:pPr>
              <w:spacing w:after="0" w:line="259" w:lineRule="auto"/>
              <w:ind w:right="70" w:firstLine="0"/>
              <w:jc w:val="center"/>
            </w:pPr>
            <w:r>
              <w:rPr>
                <w:rFonts w:ascii="宋体" w:hAnsi="宋体" w:eastAsia="宋体" w:cs="宋体"/>
                <w:sz w:val="24"/>
              </w:rPr>
              <w:t>折旧费用</w:t>
            </w:r>
          </w:p>
        </w:tc>
        <w:tc>
          <w:tcPr>
            <w:tcW w:w="2512" w:type="dxa"/>
            <w:tcBorders>
              <w:top w:val="single" w:color="000000" w:sz="6" w:space="0"/>
              <w:left w:val="single" w:color="000000" w:sz="6" w:space="0"/>
              <w:bottom w:val="single" w:color="000000" w:sz="12" w:space="0"/>
              <w:right w:val="single" w:color="000000" w:sz="6" w:space="0"/>
            </w:tcBorders>
            <w:vAlign w:val="center"/>
          </w:tcPr>
          <w:p w14:paraId="1CE42F75">
            <w:pPr>
              <w:spacing w:after="0" w:line="259" w:lineRule="auto"/>
              <w:ind w:left="1" w:right="0" w:firstLine="0"/>
            </w:pPr>
            <w:r>
              <w:rPr>
                <w:rFonts w:ascii="宋体" w:hAnsi="宋体" w:eastAsia="宋体" w:cs="宋体"/>
                <w:sz w:val="24"/>
              </w:rPr>
              <w:t>用于研发活动的仪器、设备的折旧费。</w:t>
            </w:r>
          </w:p>
        </w:tc>
        <w:tc>
          <w:tcPr>
            <w:tcW w:w="2500" w:type="dxa"/>
            <w:tcBorders>
              <w:top w:val="single" w:color="000000" w:sz="6" w:space="0"/>
              <w:left w:val="single" w:color="000000" w:sz="6" w:space="0"/>
              <w:bottom w:val="single" w:color="000000" w:sz="12" w:space="0"/>
              <w:right w:val="single" w:color="000000" w:sz="6" w:space="0"/>
            </w:tcBorders>
          </w:tcPr>
          <w:p w14:paraId="21E7AD0F">
            <w:pPr>
              <w:spacing w:after="1" w:line="307" w:lineRule="auto"/>
              <w:ind w:left="2" w:right="0" w:firstLine="0"/>
            </w:pPr>
            <w:r>
              <w:rPr>
                <w:rFonts w:ascii="宋体" w:hAnsi="宋体" w:eastAsia="宋体" w:cs="宋体"/>
                <w:sz w:val="24"/>
              </w:rPr>
              <w:t>用于研究开发活动的仪器、设备和在用建筑物的折旧费。</w:t>
            </w:r>
          </w:p>
          <w:p w14:paraId="79BC6A2A">
            <w:pPr>
              <w:spacing w:after="0" w:line="259" w:lineRule="auto"/>
              <w:ind w:left="2" w:right="0" w:firstLine="0"/>
              <w:jc w:val="both"/>
            </w:pPr>
            <w:r>
              <w:rPr>
                <w:rFonts w:ascii="宋体" w:hAnsi="宋体" w:eastAsia="宋体" w:cs="宋体"/>
                <w:sz w:val="24"/>
              </w:rPr>
              <w:t>研发设施的改建、改</w:t>
            </w:r>
          </w:p>
        </w:tc>
        <w:tc>
          <w:tcPr>
            <w:tcW w:w="2325" w:type="dxa"/>
            <w:tcBorders>
              <w:top w:val="single" w:color="000000" w:sz="6" w:space="0"/>
              <w:left w:val="single" w:color="000000" w:sz="6" w:space="0"/>
              <w:bottom w:val="single" w:color="000000" w:sz="12" w:space="0"/>
              <w:right w:val="single" w:color="000000" w:sz="6" w:space="0"/>
            </w:tcBorders>
            <w:vAlign w:val="center"/>
          </w:tcPr>
          <w:p w14:paraId="7E697AF7">
            <w:pPr>
              <w:spacing w:after="0" w:line="259" w:lineRule="auto"/>
              <w:ind w:right="0" w:firstLine="0"/>
            </w:pPr>
            <w:r>
              <w:rPr>
                <w:rFonts w:ascii="宋体" w:hAnsi="宋体" w:eastAsia="宋体" w:cs="宋体"/>
                <w:sz w:val="24"/>
              </w:rPr>
              <w:t>用于研发活动的仪器、设备、房屋等固定资产的折旧费。</w:t>
            </w:r>
          </w:p>
        </w:tc>
        <w:tc>
          <w:tcPr>
            <w:tcW w:w="1755" w:type="dxa"/>
            <w:tcBorders>
              <w:top w:val="single" w:color="000000" w:sz="6" w:space="0"/>
              <w:left w:val="single" w:color="000000" w:sz="6" w:space="0"/>
              <w:bottom w:val="single" w:color="000000" w:sz="12" w:space="0"/>
              <w:right w:val="single" w:color="000000" w:sz="12" w:space="0"/>
            </w:tcBorders>
          </w:tcPr>
          <w:p w14:paraId="07628D0E">
            <w:pPr>
              <w:spacing w:after="0" w:line="259" w:lineRule="auto"/>
              <w:ind w:left="1" w:right="0" w:firstLine="0"/>
            </w:pPr>
            <w:r>
              <w:rPr>
                <w:rFonts w:ascii="宋体" w:hAnsi="宋体" w:eastAsia="宋体" w:cs="宋体"/>
                <w:sz w:val="24"/>
              </w:rPr>
              <w:t>房屋折旧费、研发设施的改建、改装、装修和修理过程</w:t>
            </w:r>
          </w:p>
        </w:tc>
      </w:tr>
    </w:tbl>
    <w:p w14:paraId="3A8D7D34">
      <w:pPr>
        <w:spacing w:after="0" w:line="259" w:lineRule="auto"/>
        <w:ind w:left="-1418" w:right="10630" w:firstLine="0"/>
      </w:pPr>
    </w:p>
    <w:tbl>
      <w:tblPr>
        <w:tblStyle w:val="11"/>
        <w:tblW w:w="9711" w:type="dxa"/>
        <w:tblInd w:w="-321" w:type="dxa"/>
        <w:tblLayout w:type="autofit"/>
        <w:tblCellMar>
          <w:top w:w="121" w:type="dxa"/>
          <w:left w:w="107" w:type="dxa"/>
          <w:bottom w:w="0" w:type="dxa"/>
          <w:right w:w="0" w:type="dxa"/>
        </w:tblCellMar>
      </w:tblPr>
      <w:tblGrid>
        <w:gridCol w:w="619"/>
        <w:gridCol w:w="2512"/>
        <w:gridCol w:w="2500"/>
        <w:gridCol w:w="2325"/>
        <w:gridCol w:w="1755"/>
      </w:tblGrid>
      <w:tr w14:paraId="01F2D95D">
        <w:tblPrEx>
          <w:tblCellMar>
            <w:top w:w="121" w:type="dxa"/>
            <w:left w:w="107" w:type="dxa"/>
            <w:bottom w:w="0" w:type="dxa"/>
            <w:right w:w="0" w:type="dxa"/>
          </w:tblCellMar>
        </w:tblPrEx>
        <w:trPr>
          <w:trHeight w:val="823" w:hRule="atLeast"/>
        </w:trPr>
        <w:tc>
          <w:tcPr>
            <w:tcW w:w="619" w:type="dxa"/>
            <w:tcBorders>
              <w:top w:val="single" w:color="000000" w:sz="12" w:space="0"/>
              <w:left w:val="single" w:color="000000" w:sz="12" w:space="0"/>
              <w:bottom w:val="single" w:color="000000" w:sz="6" w:space="0"/>
              <w:right w:val="single" w:color="000000" w:sz="6" w:space="0"/>
            </w:tcBorders>
          </w:tcPr>
          <w:p w14:paraId="24B36A19">
            <w:pPr>
              <w:spacing w:after="0" w:line="259" w:lineRule="auto"/>
              <w:ind w:right="70" w:firstLine="0"/>
              <w:jc w:val="center"/>
            </w:pPr>
            <w:r>
              <w:rPr>
                <w:rFonts w:ascii="宋体" w:hAnsi="宋体" w:eastAsia="宋体" w:cs="宋体"/>
                <w:sz w:val="24"/>
              </w:rPr>
              <w:t>项目</w:t>
            </w:r>
          </w:p>
        </w:tc>
        <w:tc>
          <w:tcPr>
            <w:tcW w:w="2512" w:type="dxa"/>
            <w:tcBorders>
              <w:top w:val="single" w:color="000000" w:sz="12" w:space="0"/>
              <w:left w:val="single" w:color="000000" w:sz="6" w:space="0"/>
              <w:bottom w:val="single" w:color="000000" w:sz="6" w:space="0"/>
              <w:right w:val="single" w:color="000000" w:sz="6" w:space="0"/>
            </w:tcBorders>
            <w:vAlign w:val="center"/>
          </w:tcPr>
          <w:p w14:paraId="378EA0E2">
            <w:pPr>
              <w:spacing w:after="0" w:line="259" w:lineRule="auto"/>
              <w:ind w:left="188" w:right="0" w:firstLine="0"/>
            </w:pPr>
            <w:r>
              <w:rPr>
                <w:rFonts w:ascii="宋体" w:hAnsi="宋体" w:eastAsia="宋体" w:cs="宋体"/>
                <w:sz w:val="24"/>
              </w:rPr>
              <w:t>研发费用加计扣除</w:t>
            </w:r>
          </w:p>
        </w:tc>
        <w:tc>
          <w:tcPr>
            <w:tcW w:w="2500" w:type="dxa"/>
            <w:tcBorders>
              <w:top w:val="single" w:color="000000" w:sz="12" w:space="0"/>
              <w:left w:val="single" w:color="000000" w:sz="6" w:space="0"/>
              <w:bottom w:val="single" w:color="000000" w:sz="6" w:space="0"/>
              <w:right w:val="single" w:color="000000" w:sz="6" w:space="0"/>
            </w:tcBorders>
            <w:vAlign w:val="center"/>
          </w:tcPr>
          <w:p w14:paraId="76488848">
            <w:pPr>
              <w:spacing w:after="0" w:line="259" w:lineRule="auto"/>
              <w:ind w:left="182" w:right="0" w:firstLine="0"/>
            </w:pPr>
            <w:r>
              <w:rPr>
                <w:rFonts w:ascii="宋体" w:hAnsi="宋体" w:eastAsia="宋体" w:cs="宋体"/>
                <w:sz w:val="24"/>
              </w:rPr>
              <w:t>高新技术企业认定</w:t>
            </w:r>
          </w:p>
        </w:tc>
        <w:tc>
          <w:tcPr>
            <w:tcW w:w="2325" w:type="dxa"/>
            <w:tcBorders>
              <w:top w:val="single" w:color="000000" w:sz="12" w:space="0"/>
              <w:left w:val="single" w:color="000000" w:sz="6" w:space="0"/>
              <w:bottom w:val="single" w:color="000000" w:sz="6" w:space="0"/>
              <w:right w:val="single" w:color="000000" w:sz="6" w:space="0"/>
            </w:tcBorders>
            <w:vAlign w:val="center"/>
          </w:tcPr>
          <w:p w14:paraId="58A53066">
            <w:pPr>
              <w:spacing w:after="0" w:line="259" w:lineRule="auto"/>
              <w:ind w:right="108" w:firstLine="0"/>
              <w:jc w:val="center"/>
            </w:pPr>
            <w:r>
              <w:rPr>
                <w:rFonts w:ascii="宋体" w:hAnsi="宋体" w:eastAsia="宋体" w:cs="宋体"/>
                <w:sz w:val="24"/>
              </w:rPr>
              <w:t>会计规定</w:t>
            </w:r>
          </w:p>
        </w:tc>
        <w:tc>
          <w:tcPr>
            <w:tcW w:w="1755" w:type="dxa"/>
            <w:tcBorders>
              <w:top w:val="single" w:color="000000" w:sz="12" w:space="0"/>
              <w:left w:val="single" w:color="000000" w:sz="6" w:space="0"/>
              <w:bottom w:val="single" w:color="000000" w:sz="6" w:space="0"/>
              <w:right w:val="single" w:color="000000" w:sz="12" w:space="0"/>
            </w:tcBorders>
            <w:vAlign w:val="center"/>
          </w:tcPr>
          <w:p w14:paraId="5F7E63FF">
            <w:pPr>
              <w:spacing w:after="0" w:line="259" w:lineRule="auto"/>
              <w:ind w:right="111" w:firstLine="0"/>
              <w:jc w:val="center"/>
            </w:pPr>
            <w:r>
              <w:rPr>
                <w:rFonts w:ascii="宋体" w:hAnsi="宋体" w:eastAsia="宋体" w:cs="宋体"/>
                <w:sz w:val="24"/>
              </w:rPr>
              <w:t>备注</w:t>
            </w:r>
          </w:p>
        </w:tc>
      </w:tr>
      <w:tr w14:paraId="4B7320D3">
        <w:tblPrEx>
          <w:tblCellMar>
            <w:top w:w="121" w:type="dxa"/>
            <w:left w:w="107" w:type="dxa"/>
            <w:bottom w:w="0" w:type="dxa"/>
            <w:right w:w="0" w:type="dxa"/>
          </w:tblCellMar>
        </w:tblPrEx>
        <w:trPr>
          <w:trHeight w:val="2815" w:hRule="atLeast"/>
        </w:trPr>
        <w:tc>
          <w:tcPr>
            <w:tcW w:w="619" w:type="dxa"/>
            <w:tcBorders>
              <w:top w:val="single" w:color="000000" w:sz="6" w:space="0"/>
              <w:left w:val="single" w:color="000000" w:sz="12" w:space="0"/>
              <w:bottom w:val="single" w:color="000000" w:sz="6" w:space="0"/>
              <w:right w:val="single" w:color="000000" w:sz="6" w:space="0"/>
            </w:tcBorders>
          </w:tcPr>
          <w:p w14:paraId="4C8C3DAA">
            <w:pPr>
              <w:spacing w:after="0" w:line="259" w:lineRule="auto"/>
              <w:ind w:right="70" w:firstLine="0"/>
              <w:jc w:val="center"/>
            </w:pPr>
            <w:r>
              <w:rPr>
                <w:rFonts w:ascii="宋体" w:hAnsi="宋体" w:eastAsia="宋体" w:cs="宋体"/>
                <w:sz w:val="24"/>
              </w:rPr>
              <w:t>与长期待摊费用</w:t>
            </w:r>
          </w:p>
        </w:tc>
        <w:tc>
          <w:tcPr>
            <w:tcW w:w="2512" w:type="dxa"/>
            <w:tcBorders>
              <w:top w:val="single" w:color="000000" w:sz="6" w:space="0"/>
              <w:left w:val="single" w:color="000000" w:sz="6" w:space="0"/>
              <w:bottom w:val="single" w:color="000000" w:sz="6" w:space="0"/>
              <w:right w:val="single" w:color="000000" w:sz="6" w:space="0"/>
            </w:tcBorders>
          </w:tcPr>
          <w:p w14:paraId="21343663">
            <w:pPr>
              <w:spacing w:after="160" w:line="259" w:lineRule="auto"/>
              <w:ind w:right="0" w:firstLine="0"/>
            </w:pPr>
          </w:p>
        </w:tc>
        <w:tc>
          <w:tcPr>
            <w:tcW w:w="2500" w:type="dxa"/>
            <w:tcBorders>
              <w:top w:val="single" w:color="000000" w:sz="6" w:space="0"/>
              <w:left w:val="single" w:color="000000" w:sz="6" w:space="0"/>
              <w:bottom w:val="single" w:color="000000" w:sz="6" w:space="0"/>
              <w:right w:val="single" w:color="000000" w:sz="6" w:space="0"/>
            </w:tcBorders>
          </w:tcPr>
          <w:p w14:paraId="2BFBE786">
            <w:pPr>
              <w:spacing w:after="0" w:line="259" w:lineRule="auto"/>
              <w:ind w:left="2" w:right="-9" w:firstLine="0"/>
            </w:pPr>
            <w:r>
              <w:rPr>
                <w:rFonts w:ascii="宋体" w:hAnsi="宋体" w:eastAsia="宋体" w:cs="宋体"/>
                <w:sz w:val="24"/>
              </w:rPr>
              <w:t>装、装修和修理过程中发生的长期待摊费用。</w:t>
            </w:r>
          </w:p>
        </w:tc>
        <w:tc>
          <w:tcPr>
            <w:tcW w:w="2325" w:type="dxa"/>
            <w:tcBorders>
              <w:top w:val="single" w:color="000000" w:sz="6" w:space="0"/>
              <w:left w:val="single" w:color="000000" w:sz="6" w:space="0"/>
              <w:bottom w:val="single" w:color="000000" w:sz="6" w:space="0"/>
              <w:right w:val="single" w:color="000000" w:sz="6" w:space="0"/>
            </w:tcBorders>
          </w:tcPr>
          <w:p w14:paraId="17DFDBD9">
            <w:pPr>
              <w:spacing w:after="160" w:line="259" w:lineRule="auto"/>
              <w:ind w:right="0" w:firstLine="0"/>
            </w:pPr>
          </w:p>
        </w:tc>
        <w:tc>
          <w:tcPr>
            <w:tcW w:w="1755" w:type="dxa"/>
            <w:tcBorders>
              <w:top w:val="single" w:color="000000" w:sz="6" w:space="0"/>
              <w:left w:val="single" w:color="000000" w:sz="6" w:space="0"/>
              <w:bottom w:val="single" w:color="000000" w:sz="6" w:space="0"/>
              <w:right w:val="single" w:color="000000" w:sz="12" w:space="0"/>
            </w:tcBorders>
          </w:tcPr>
          <w:p w14:paraId="3D27176F">
            <w:pPr>
              <w:spacing w:after="0" w:line="259" w:lineRule="auto"/>
              <w:ind w:left="1" w:right="0" w:firstLine="0"/>
            </w:pPr>
            <w:r>
              <w:rPr>
                <w:rFonts w:ascii="宋体" w:hAnsi="宋体" w:eastAsia="宋体" w:cs="宋体"/>
                <w:sz w:val="24"/>
              </w:rPr>
              <w:t>中发生的长期待摊费用不计入加计扣除范围。</w:t>
            </w:r>
          </w:p>
        </w:tc>
      </w:tr>
      <w:tr w14:paraId="0D7A552B">
        <w:tblPrEx>
          <w:tblCellMar>
            <w:top w:w="121" w:type="dxa"/>
            <w:left w:w="107" w:type="dxa"/>
            <w:bottom w:w="0" w:type="dxa"/>
            <w:right w:w="0" w:type="dxa"/>
          </w:tblCellMar>
        </w:tblPrEx>
        <w:trPr>
          <w:trHeight w:val="4015" w:hRule="atLeast"/>
        </w:trPr>
        <w:tc>
          <w:tcPr>
            <w:tcW w:w="619" w:type="dxa"/>
            <w:tcBorders>
              <w:top w:val="single" w:color="000000" w:sz="6" w:space="0"/>
              <w:left w:val="single" w:color="000000" w:sz="12" w:space="0"/>
              <w:bottom w:val="single" w:color="000000" w:sz="6" w:space="0"/>
              <w:right w:val="single" w:color="000000" w:sz="6" w:space="0"/>
            </w:tcBorders>
            <w:vAlign w:val="center"/>
          </w:tcPr>
          <w:p w14:paraId="0AFDD672">
            <w:pPr>
              <w:spacing w:after="0" w:line="259" w:lineRule="auto"/>
              <w:ind w:right="70" w:firstLine="0"/>
              <w:jc w:val="center"/>
            </w:pPr>
            <w:r>
              <w:rPr>
                <w:rFonts w:ascii="宋体" w:hAnsi="宋体" w:eastAsia="宋体" w:cs="宋体"/>
                <w:sz w:val="24"/>
              </w:rPr>
              <w:t>无形资产摊销</w:t>
            </w:r>
          </w:p>
        </w:tc>
        <w:tc>
          <w:tcPr>
            <w:tcW w:w="2512" w:type="dxa"/>
            <w:tcBorders>
              <w:top w:val="single" w:color="000000" w:sz="6" w:space="0"/>
              <w:left w:val="single" w:color="000000" w:sz="6" w:space="0"/>
              <w:bottom w:val="single" w:color="000000" w:sz="6" w:space="0"/>
              <w:right w:val="single" w:color="000000" w:sz="6" w:space="0"/>
            </w:tcBorders>
            <w:vAlign w:val="center"/>
          </w:tcPr>
          <w:p w14:paraId="4ADA868B">
            <w:pPr>
              <w:spacing w:after="0" w:line="308" w:lineRule="auto"/>
              <w:ind w:left="1" w:right="0" w:firstLine="0"/>
            </w:pPr>
            <w:r>
              <w:rPr>
                <w:rFonts w:ascii="宋体" w:hAnsi="宋体" w:eastAsia="宋体" w:cs="宋体"/>
                <w:sz w:val="24"/>
              </w:rPr>
              <w:t>用于研发活动的软件、专利权、非专利技术</w:t>
            </w:r>
          </w:p>
          <w:p w14:paraId="32530A3D">
            <w:pPr>
              <w:spacing w:after="0" w:line="259" w:lineRule="auto"/>
              <w:ind w:left="1" w:right="0" w:firstLine="0"/>
            </w:pPr>
            <w:r>
              <w:rPr>
                <w:rFonts w:ascii="宋体" w:hAnsi="宋体" w:eastAsia="宋体" w:cs="宋体"/>
                <w:sz w:val="24"/>
              </w:rPr>
              <w:t>（包括许可证、专有技术、设计和计算方法等）的摊销费用。</w:t>
            </w:r>
          </w:p>
        </w:tc>
        <w:tc>
          <w:tcPr>
            <w:tcW w:w="2500" w:type="dxa"/>
            <w:tcBorders>
              <w:top w:val="single" w:color="000000" w:sz="6" w:space="0"/>
              <w:left w:val="single" w:color="000000" w:sz="6" w:space="0"/>
              <w:bottom w:val="single" w:color="000000" w:sz="6" w:space="0"/>
              <w:right w:val="single" w:color="000000" w:sz="6" w:space="0"/>
            </w:tcBorders>
            <w:vAlign w:val="center"/>
          </w:tcPr>
          <w:p w14:paraId="54892B42">
            <w:pPr>
              <w:spacing w:after="0" w:line="259" w:lineRule="auto"/>
              <w:ind w:left="2" w:right="0" w:firstLine="0"/>
            </w:pPr>
            <w:r>
              <w:rPr>
                <w:rFonts w:ascii="宋体" w:hAnsi="宋体" w:eastAsia="宋体" w:cs="宋体"/>
                <w:sz w:val="24"/>
              </w:rPr>
              <w:t>用于研究开发活动的软件、知识产权、非专利技术（专有技术、许可证、设计和计算方法等）的摊销费用。</w:t>
            </w:r>
          </w:p>
        </w:tc>
        <w:tc>
          <w:tcPr>
            <w:tcW w:w="2325" w:type="dxa"/>
            <w:tcBorders>
              <w:top w:val="single" w:color="000000" w:sz="6" w:space="0"/>
              <w:left w:val="single" w:color="000000" w:sz="6" w:space="0"/>
              <w:bottom w:val="single" w:color="000000" w:sz="6" w:space="0"/>
              <w:right w:val="single" w:color="000000" w:sz="6" w:space="0"/>
            </w:tcBorders>
            <w:vAlign w:val="center"/>
          </w:tcPr>
          <w:p w14:paraId="3DD13A2F">
            <w:pPr>
              <w:spacing w:after="0" w:line="259" w:lineRule="auto"/>
              <w:ind w:right="0" w:firstLine="0"/>
            </w:pPr>
            <w:r>
              <w:rPr>
                <w:rFonts w:ascii="宋体" w:hAnsi="宋体" w:eastAsia="宋体" w:cs="宋体"/>
                <w:sz w:val="24"/>
              </w:rPr>
              <w:t>用于研发活动的软件、专利权、非专利技术等无形资产的摊销费用。</w:t>
            </w:r>
          </w:p>
        </w:tc>
        <w:tc>
          <w:tcPr>
            <w:tcW w:w="1755" w:type="dxa"/>
            <w:tcBorders>
              <w:top w:val="single" w:color="000000" w:sz="6" w:space="0"/>
              <w:left w:val="single" w:color="000000" w:sz="6" w:space="0"/>
              <w:bottom w:val="single" w:color="000000" w:sz="6" w:space="0"/>
              <w:right w:val="single" w:color="000000" w:sz="12" w:space="0"/>
            </w:tcBorders>
          </w:tcPr>
          <w:p w14:paraId="4CD4768F">
            <w:pPr>
              <w:spacing w:after="0" w:line="308" w:lineRule="auto"/>
              <w:ind w:left="1" w:right="0" w:firstLine="0"/>
            </w:pPr>
            <w:r>
              <w:rPr>
                <w:rFonts w:ascii="宋体" w:hAnsi="宋体" w:eastAsia="宋体" w:cs="宋体"/>
                <w:sz w:val="24"/>
              </w:rPr>
              <w:t>高新技术企业认定口径的研发费用包含</w:t>
            </w:r>
          </w:p>
          <w:p w14:paraId="16714835">
            <w:pPr>
              <w:spacing w:after="1" w:line="307" w:lineRule="auto"/>
              <w:ind w:left="1" w:right="0" w:firstLine="0"/>
            </w:pPr>
            <w:r>
              <w:rPr>
                <w:rFonts w:ascii="宋体" w:hAnsi="宋体" w:eastAsia="宋体" w:cs="宋体"/>
                <w:sz w:val="24"/>
              </w:rPr>
              <w:t>“知识产权” 摊销，而加计扣除口径的研发费用包含</w:t>
            </w:r>
          </w:p>
          <w:p w14:paraId="42BA7F9A">
            <w:pPr>
              <w:spacing w:after="0" w:line="259" w:lineRule="auto"/>
              <w:ind w:left="1" w:right="0" w:firstLine="0"/>
            </w:pPr>
            <w:r>
              <w:rPr>
                <w:rFonts w:ascii="宋体" w:hAnsi="宋体" w:eastAsia="宋体" w:cs="宋体"/>
                <w:sz w:val="24"/>
              </w:rPr>
              <w:t>“专利权”摊销,二者存在一定差异。</w:t>
            </w:r>
          </w:p>
        </w:tc>
      </w:tr>
      <w:tr w14:paraId="0D8DD3CB">
        <w:tblPrEx>
          <w:tblCellMar>
            <w:top w:w="121" w:type="dxa"/>
            <w:left w:w="107" w:type="dxa"/>
            <w:bottom w:w="0" w:type="dxa"/>
            <w:right w:w="0" w:type="dxa"/>
          </w:tblCellMar>
        </w:tblPrEx>
        <w:trPr>
          <w:trHeight w:val="4820" w:hRule="atLeast"/>
        </w:trPr>
        <w:tc>
          <w:tcPr>
            <w:tcW w:w="619" w:type="dxa"/>
            <w:tcBorders>
              <w:top w:val="single" w:color="000000" w:sz="6" w:space="0"/>
              <w:left w:val="single" w:color="000000" w:sz="12" w:space="0"/>
              <w:bottom w:val="single" w:color="000000" w:sz="12" w:space="0"/>
              <w:right w:val="single" w:color="000000" w:sz="6" w:space="0"/>
            </w:tcBorders>
            <w:vAlign w:val="center"/>
          </w:tcPr>
          <w:p w14:paraId="2EEA4CCC">
            <w:pPr>
              <w:spacing w:after="0" w:line="259" w:lineRule="auto"/>
              <w:ind w:right="70" w:firstLine="0"/>
              <w:jc w:val="center"/>
            </w:pPr>
            <w:r>
              <w:rPr>
                <w:rFonts w:ascii="宋体" w:hAnsi="宋体" w:eastAsia="宋体" w:cs="宋体"/>
                <w:sz w:val="24"/>
              </w:rPr>
              <w:t>设计试验等费用</w:t>
            </w:r>
          </w:p>
        </w:tc>
        <w:tc>
          <w:tcPr>
            <w:tcW w:w="2512" w:type="dxa"/>
            <w:tcBorders>
              <w:top w:val="single" w:color="000000" w:sz="6" w:space="0"/>
              <w:left w:val="single" w:color="000000" w:sz="6" w:space="0"/>
              <w:bottom w:val="single" w:color="000000" w:sz="12" w:space="0"/>
              <w:right w:val="single" w:color="000000" w:sz="6" w:space="0"/>
            </w:tcBorders>
            <w:vAlign w:val="center"/>
          </w:tcPr>
          <w:p w14:paraId="2802F572">
            <w:pPr>
              <w:spacing w:after="0" w:line="259" w:lineRule="auto"/>
              <w:ind w:left="1" w:right="0" w:firstLine="0"/>
            </w:pPr>
            <w:r>
              <w:rPr>
                <w:rFonts w:ascii="宋体" w:hAnsi="宋体" w:eastAsia="宋体" w:cs="宋体"/>
                <w:sz w:val="24"/>
              </w:rPr>
              <w:t>新产品设计费、新工艺规程制定费、新药研制的临床试验费、勘探开发技术的现场试验费。</w:t>
            </w:r>
          </w:p>
        </w:tc>
        <w:tc>
          <w:tcPr>
            <w:tcW w:w="2500" w:type="dxa"/>
            <w:tcBorders>
              <w:top w:val="single" w:color="000000" w:sz="6" w:space="0"/>
              <w:left w:val="single" w:color="000000" w:sz="6" w:space="0"/>
              <w:bottom w:val="single" w:color="000000" w:sz="12" w:space="0"/>
              <w:right w:val="single" w:color="000000" w:sz="6" w:space="0"/>
            </w:tcBorders>
            <w:vAlign w:val="center"/>
          </w:tcPr>
          <w:p w14:paraId="70135D5C">
            <w:pPr>
              <w:spacing w:after="0" w:line="259" w:lineRule="auto"/>
              <w:ind w:left="2" w:right="-9" w:firstLine="0"/>
            </w:pPr>
            <w:r>
              <w:rPr>
                <w:rFonts w:ascii="宋体" w:hAnsi="宋体" w:eastAsia="宋体" w:cs="宋体"/>
                <w:sz w:val="24"/>
              </w:rPr>
              <w:t>符合条件的设计费用、装备调试费用、试验费用（包括新药研制的临床试验费、勘探开发技术的现场试验费、田间试验费等）。</w:t>
            </w:r>
          </w:p>
        </w:tc>
        <w:tc>
          <w:tcPr>
            <w:tcW w:w="2325" w:type="dxa"/>
            <w:tcBorders>
              <w:top w:val="single" w:color="000000" w:sz="6" w:space="0"/>
              <w:left w:val="single" w:color="000000" w:sz="6" w:space="0"/>
              <w:bottom w:val="single" w:color="000000" w:sz="12" w:space="0"/>
              <w:right w:val="single" w:color="000000" w:sz="6" w:space="0"/>
            </w:tcBorders>
          </w:tcPr>
          <w:p w14:paraId="39AAB45D">
            <w:pPr>
              <w:spacing w:after="160" w:line="259" w:lineRule="auto"/>
              <w:ind w:right="0" w:firstLine="0"/>
            </w:pPr>
          </w:p>
        </w:tc>
        <w:tc>
          <w:tcPr>
            <w:tcW w:w="1755" w:type="dxa"/>
            <w:tcBorders>
              <w:top w:val="single" w:color="000000" w:sz="6" w:space="0"/>
              <w:left w:val="single" w:color="000000" w:sz="6" w:space="0"/>
              <w:bottom w:val="single" w:color="000000" w:sz="12" w:space="0"/>
              <w:right w:val="single" w:color="000000" w:sz="12" w:space="0"/>
            </w:tcBorders>
          </w:tcPr>
          <w:p w14:paraId="20F2DF96">
            <w:pPr>
              <w:spacing w:after="0" w:line="259" w:lineRule="auto"/>
              <w:ind w:left="1" w:right="0" w:firstLine="0"/>
            </w:pPr>
            <w:r>
              <w:rPr>
                <w:rFonts w:ascii="宋体" w:hAnsi="宋体" w:eastAsia="宋体" w:cs="宋体"/>
                <w:sz w:val="24"/>
              </w:rPr>
              <w:t>高新技术企业认定口径将装备调试费用、田间试验费用纳入范围；会计虽未对设计试验等费用进行列举，但规定研究、开发过程中发生的相关费用均可计入研发费</w:t>
            </w:r>
          </w:p>
        </w:tc>
      </w:tr>
      <w:tr w14:paraId="5742E4F9">
        <w:tblPrEx>
          <w:tblCellMar>
            <w:top w:w="121" w:type="dxa"/>
            <w:left w:w="107" w:type="dxa"/>
            <w:bottom w:w="0" w:type="dxa"/>
            <w:right w:w="0" w:type="dxa"/>
          </w:tblCellMar>
        </w:tblPrEx>
        <w:trPr>
          <w:trHeight w:val="823" w:hRule="atLeast"/>
        </w:trPr>
        <w:tc>
          <w:tcPr>
            <w:tcW w:w="619" w:type="dxa"/>
            <w:tcBorders>
              <w:top w:val="single" w:color="000000" w:sz="12" w:space="0"/>
              <w:left w:val="single" w:color="000000" w:sz="12" w:space="0"/>
              <w:bottom w:val="single" w:color="000000" w:sz="6" w:space="0"/>
              <w:right w:val="single" w:color="000000" w:sz="6" w:space="0"/>
            </w:tcBorders>
          </w:tcPr>
          <w:p w14:paraId="7266ADBA">
            <w:pPr>
              <w:spacing w:after="0" w:line="259" w:lineRule="auto"/>
              <w:ind w:right="70" w:firstLine="0"/>
              <w:jc w:val="center"/>
            </w:pPr>
            <w:r>
              <w:rPr>
                <w:rFonts w:ascii="宋体" w:hAnsi="宋体" w:eastAsia="宋体" w:cs="宋体"/>
                <w:sz w:val="24"/>
              </w:rPr>
              <w:t>项目</w:t>
            </w:r>
          </w:p>
        </w:tc>
        <w:tc>
          <w:tcPr>
            <w:tcW w:w="2512" w:type="dxa"/>
            <w:tcBorders>
              <w:top w:val="single" w:color="000000" w:sz="12" w:space="0"/>
              <w:left w:val="single" w:color="000000" w:sz="6" w:space="0"/>
              <w:bottom w:val="single" w:color="000000" w:sz="6" w:space="0"/>
              <w:right w:val="single" w:color="000000" w:sz="6" w:space="0"/>
            </w:tcBorders>
            <w:vAlign w:val="center"/>
          </w:tcPr>
          <w:p w14:paraId="47A0DD2B">
            <w:pPr>
              <w:spacing w:after="0" w:line="259" w:lineRule="auto"/>
              <w:ind w:left="188" w:right="0" w:firstLine="0"/>
            </w:pPr>
            <w:r>
              <w:rPr>
                <w:rFonts w:ascii="宋体" w:hAnsi="宋体" w:eastAsia="宋体" w:cs="宋体"/>
                <w:sz w:val="24"/>
              </w:rPr>
              <w:t>研发费用加计扣除</w:t>
            </w:r>
          </w:p>
        </w:tc>
        <w:tc>
          <w:tcPr>
            <w:tcW w:w="2500" w:type="dxa"/>
            <w:tcBorders>
              <w:top w:val="single" w:color="000000" w:sz="12" w:space="0"/>
              <w:left w:val="single" w:color="000000" w:sz="6" w:space="0"/>
              <w:bottom w:val="single" w:color="000000" w:sz="6" w:space="0"/>
              <w:right w:val="single" w:color="000000" w:sz="6" w:space="0"/>
            </w:tcBorders>
            <w:vAlign w:val="center"/>
          </w:tcPr>
          <w:p w14:paraId="20E82BC9">
            <w:pPr>
              <w:spacing w:after="0" w:line="259" w:lineRule="auto"/>
              <w:ind w:left="182" w:right="0" w:firstLine="0"/>
            </w:pPr>
            <w:r>
              <w:rPr>
                <w:rFonts w:ascii="宋体" w:hAnsi="宋体" w:eastAsia="宋体" w:cs="宋体"/>
                <w:sz w:val="24"/>
              </w:rPr>
              <w:t>高新技术企业认定</w:t>
            </w:r>
          </w:p>
        </w:tc>
        <w:tc>
          <w:tcPr>
            <w:tcW w:w="2325" w:type="dxa"/>
            <w:tcBorders>
              <w:top w:val="single" w:color="000000" w:sz="12" w:space="0"/>
              <w:left w:val="single" w:color="000000" w:sz="6" w:space="0"/>
              <w:bottom w:val="single" w:color="000000" w:sz="6" w:space="0"/>
              <w:right w:val="single" w:color="000000" w:sz="6" w:space="0"/>
            </w:tcBorders>
            <w:vAlign w:val="center"/>
          </w:tcPr>
          <w:p w14:paraId="205E0216">
            <w:pPr>
              <w:spacing w:after="0" w:line="259" w:lineRule="auto"/>
              <w:ind w:right="108" w:firstLine="0"/>
              <w:jc w:val="center"/>
            </w:pPr>
            <w:r>
              <w:rPr>
                <w:rFonts w:ascii="宋体" w:hAnsi="宋体" w:eastAsia="宋体" w:cs="宋体"/>
                <w:sz w:val="24"/>
              </w:rPr>
              <w:t>会计规定</w:t>
            </w:r>
          </w:p>
        </w:tc>
        <w:tc>
          <w:tcPr>
            <w:tcW w:w="1755" w:type="dxa"/>
            <w:tcBorders>
              <w:top w:val="single" w:color="000000" w:sz="12" w:space="0"/>
              <w:left w:val="single" w:color="000000" w:sz="6" w:space="0"/>
              <w:bottom w:val="single" w:color="000000" w:sz="6" w:space="0"/>
              <w:right w:val="single" w:color="000000" w:sz="12" w:space="0"/>
            </w:tcBorders>
            <w:vAlign w:val="center"/>
          </w:tcPr>
          <w:p w14:paraId="1987C3DA">
            <w:pPr>
              <w:spacing w:after="0" w:line="259" w:lineRule="auto"/>
              <w:ind w:right="111" w:firstLine="0"/>
              <w:jc w:val="center"/>
            </w:pPr>
            <w:r>
              <w:rPr>
                <w:rFonts w:ascii="宋体" w:hAnsi="宋体" w:eastAsia="宋体" w:cs="宋体"/>
                <w:sz w:val="24"/>
              </w:rPr>
              <w:t>备注</w:t>
            </w:r>
          </w:p>
        </w:tc>
      </w:tr>
      <w:tr w14:paraId="5CB87904">
        <w:tblPrEx>
          <w:tblCellMar>
            <w:top w:w="121" w:type="dxa"/>
            <w:left w:w="107" w:type="dxa"/>
            <w:bottom w:w="0" w:type="dxa"/>
            <w:right w:w="0" w:type="dxa"/>
          </w:tblCellMar>
        </w:tblPrEx>
        <w:trPr>
          <w:trHeight w:val="1215" w:hRule="atLeast"/>
        </w:trPr>
        <w:tc>
          <w:tcPr>
            <w:tcW w:w="619" w:type="dxa"/>
            <w:tcBorders>
              <w:top w:val="single" w:color="000000" w:sz="6" w:space="0"/>
              <w:left w:val="single" w:color="000000" w:sz="12" w:space="0"/>
              <w:bottom w:val="single" w:color="000000" w:sz="6" w:space="0"/>
              <w:right w:val="single" w:color="000000" w:sz="6" w:space="0"/>
            </w:tcBorders>
          </w:tcPr>
          <w:p w14:paraId="5BFA0A0B">
            <w:pPr>
              <w:spacing w:after="160" w:line="259" w:lineRule="auto"/>
              <w:ind w:right="0" w:firstLine="0"/>
            </w:pPr>
          </w:p>
        </w:tc>
        <w:tc>
          <w:tcPr>
            <w:tcW w:w="2512" w:type="dxa"/>
            <w:tcBorders>
              <w:top w:val="single" w:color="000000" w:sz="6" w:space="0"/>
              <w:left w:val="single" w:color="000000" w:sz="6" w:space="0"/>
              <w:bottom w:val="single" w:color="000000" w:sz="6" w:space="0"/>
              <w:right w:val="single" w:color="000000" w:sz="6" w:space="0"/>
            </w:tcBorders>
          </w:tcPr>
          <w:p w14:paraId="0CDF7269">
            <w:pPr>
              <w:spacing w:after="160" w:line="259" w:lineRule="auto"/>
              <w:ind w:right="0" w:firstLine="0"/>
            </w:pPr>
          </w:p>
        </w:tc>
        <w:tc>
          <w:tcPr>
            <w:tcW w:w="2500" w:type="dxa"/>
            <w:tcBorders>
              <w:top w:val="single" w:color="000000" w:sz="6" w:space="0"/>
              <w:left w:val="single" w:color="000000" w:sz="6" w:space="0"/>
              <w:bottom w:val="single" w:color="000000" w:sz="6" w:space="0"/>
              <w:right w:val="single" w:color="000000" w:sz="6" w:space="0"/>
            </w:tcBorders>
          </w:tcPr>
          <w:p w14:paraId="7A884F52">
            <w:pPr>
              <w:spacing w:after="160" w:line="259" w:lineRule="auto"/>
              <w:ind w:right="0" w:firstLine="0"/>
            </w:pPr>
          </w:p>
        </w:tc>
        <w:tc>
          <w:tcPr>
            <w:tcW w:w="2325" w:type="dxa"/>
            <w:tcBorders>
              <w:top w:val="single" w:color="000000" w:sz="6" w:space="0"/>
              <w:left w:val="single" w:color="000000" w:sz="6" w:space="0"/>
              <w:bottom w:val="single" w:color="000000" w:sz="6" w:space="0"/>
              <w:right w:val="single" w:color="000000" w:sz="6" w:space="0"/>
            </w:tcBorders>
          </w:tcPr>
          <w:p w14:paraId="784C64B3">
            <w:pPr>
              <w:spacing w:after="160" w:line="259" w:lineRule="auto"/>
              <w:ind w:right="0" w:firstLine="0"/>
            </w:pPr>
          </w:p>
        </w:tc>
        <w:tc>
          <w:tcPr>
            <w:tcW w:w="1755" w:type="dxa"/>
            <w:tcBorders>
              <w:top w:val="single" w:color="000000" w:sz="6" w:space="0"/>
              <w:left w:val="single" w:color="000000" w:sz="6" w:space="0"/>
              <w:bottom w:val="single" w:color="000000" w:sz="6" w:space="0"/>
              <w:right w:val="single" w:color="000000" w:sz="12" w:space="0"/>
            </w:tcBorders>
          </w:tcPr>
          <w:p w14:paraId="359BBD8A">
            <w:pPr>
              <w:spacing w:after="0" w:line="259" w:lineRule="auto"/>
              <w:ind w:left="1" w:right="0" w:firstLine="0"/>
            </w:pPr>
            <w:r>
              <w:rPr>
                <w:rFonts w:ascii="宋体" w:hAnsi="宋体" w:eastAsia="宋体" w:cs="宋体"/>
                <w:sz w:val="24"/>
              </w:rPr>
              <w:t>用。</w:t>
            </w:r>
          </w:p>
        </w:tc>
      </w:tr>
      <w:tr w14:paraId="7A3D852C">
        <w:tblPrEx>
          <w:tblCellMar>
            <w:top w:w="121" w:type="dxa"/>
            <w:left w:w="107" w:type="dxa"/>
            <w:bottom w:w="0" w:type="dxa"/>
            <w:right w:w="0" w:type="dxa"/>
          </w:tblCellMar>
        </w:tblPrEx>
        <w:trPr>
          <w:trHeight w:val="6422" w:hRule="atLeast"/>
        </w:trPr>
        <w:tc>
          <w:tcPr>
            <w:tcW w:w="619" w:type="dxa"/>
            <w:tcBorders>
              <w:top w:val="single" w:color="000000" w:sz="6" w:space="0"/>
              <w:left w:val="single" w:color="000000" w:sz="12" w:space="0"/>
              <w:bottom w:val="single" w:color="000000" w:sz="12" w:space="0"/>
              <w:right w:val="single" w:color="000000" w:sz="6" w:space="0"/>
            </w:tcBorders>
            <w:vAlign w:val="center"/>
          </w:tcPr>
          <w:p w14:paraId="4746AAF2">
            <w:pPr>
              <w:spacing w:after="0" w:line="259" w:lineRule="auto"/>
              <w:ind w:right="70" w:firstLine="0"/>
              <w:jc w:val="center"/>
            </w:pPr>
            <w:r>
              <w:rPr>
                <w:rFonts w:ascii="宋体" w:hAnsi="宋体" w:eastAsia="宋体" w:cs="宋体"/>
                <w:sz w:val="24"/>
              </w:rPr>
              <w:t>其他相关费用</w:t>
            </w:r>
          </w:p>
        </w:tc>
        <w:tc>
          <w:tcPr>
            <w:tcW w:w="2512" w:type="dxa"/>
            <w:tcBorders>
              <w:top w:val="single" w:color="000000" w:sz="6" w:space="0"/>
              <w:left w:val="single" w:color="000000" w:sz="6" w:space="0"/>
              <w:bottom w:val="single" w:color="000000" w:sz="12" w:space="0"/>
              <w:right w:val="single" w:color="000000" w:sz="6" w:space="0"/>
            </w:tcBorders>
          </w:tcPr>
          <w:p w14:paraId="22953B4A">
            <w:pPr>
              <w:spacing w:after="1" w:line="307" w:lineRule="auto"/>
              <w:ind w:left="1" w:right="-10" w:firstLine="0"/>
            </w:pPr>
            <w:r>
              <w:rPr>
                <w:rFonts w:ascii="宋体" w:hAnsi="宋体" w:eastAsia="宋体" w:cs="宋体"/>
                <w:sz w:val="24"/>
              </w:rPr>
              <w:t>与研发活动直接相关的其他费用，如技术图书资料费、资料翻译费、专家咨询费、高新科技研发保险费，研发成果的检索、分析、评议、论证、鉴定、评审、评估、验收费用，知识产权的申请费、注册</w:t>
            </w:r>
          </w:p>
          <w:p w14:paraId="0CF2B574">
            <w:pPr>
              <w:spacing w:after="1" w:line="307" w:lineRule="auto"/>
              <w:ind w:left="1" w:right="0" w:firstLine="0"/>
            </w:pPr>
            <w:r>
              <w:rPr>
                <w:rFonts w:ascii="宋体" w:hAnsi="宋体" w:eastAsia="宋体" w:cs="宋体"/>
                <w:sz w:val="24"/>
              </w:rPr>
              <w:t>费、代理费，差旅费、会议费，职工福利费、补充养老保险费、补充医疗保险费。此项费用总额不得超过可加计扣除研发费用总额的</w:t>
            </w:r>
          </w:p>
          <w:p w14:paraId="0569F614">
            <w:pPr>
              <w:spacing w:after="0" w:line="259" w:lineRule="auto"/>
              <w:ind w:left="1" w:right="0" w:firstLine="0"/>
            </w:pPr>
            <w:r>
              <w:rPr>
                <w:rFonts w:ascii="宋体" w:hAnsi="宋体" w:eastAsia="宋体" w:cs="宋体"/>
                <w:sz w:val="24"/>
              </w:rPr>
              <w:t>10%。</w:t>
            </w:r>
          </w:p>
        </w:tc>
        <w:tc>
          <w:tcPr>
            <w:tcW w:w="2500" w:type="dxa"/>
            <w:tcBorders>
              <w:top w:val="single" w:color="000000" w:sz="6" w:space="0"/>
              <w:left w:val="single" w:color="000000" w:sz="6" w:space="0"/>
              <w:bottom w:val="single" w:color="000000" w:sz="12" w:space="0"/>
              <w:right w:val="single" w:color="000000" w:sz="6" w:space="0"/>
            </w:tcBorders>
            <w:vAlign w:val="center"/>
          </w:tcPr>
          <w:p w14:paraId="327051FE">
            <w:pPr>
              <w:spacing w:after="0" w:line="308" w:lineRule="auto"/>
              <w:ind w:left="2" w:right="-9" w:firstLine="0"/>
            </w:pPr>
            <w:r>
              <w:rPr>
                <w:rFonts w:ascii="宋体" w:hAnsi="宋体" w:eastAsia="宋体" w:cs="宋体"/>
                <w:sz w:val="24"/>
              </w:rPr>
              <w:t>与研究开发活动直接相关的其他费用，包括技术图书资料费、资料翻译费、专家咨询费、高新科技研发保险费，研发成果的检索、论证、评审、鉴定、验收费用，知识产权的申请费、注册费、代理费，会议费、差旅费、通讯费等。此项费用一般不得超过研究开发总费</w:t>
            </w:r>
          </w:p>
          <w:p w14:paraId="33822C3D">
            <w:pPr>
              <w:spacing w:after="0" w:line="259" w:lineRule="auto"/>
              <w:ind w:left="2" w:right="0" w:firstLine="0"/>
            </w:pPr>
            <w:r>
              <w:rPr>
                <w:rFonts w:ascii="宋体" w:hAnsi="宋体" w:eastAsia="宋体" w:cs="宋体"/>
                <w:sz w:val="24"/>
              </w:rPr>
              <w:t>用的20%，另有规定的除外。</w:t>
            </w:r>
          </w:p>
        </w:tc>
        <w:tc>
          <w:tcPr>
            <w:tcW w:w="2325" w:type="dxa"/>
            <w:tcBorders>
              <w:top w:val="single" w:color="000000" w:sz="6" w:space="0"/>
              <w:left w:val="single" w:color="000000" w:sz="6" w:space="0"/>
              <w:bottom w:val="single" w:color="000000" w:sz="12" w:space="0"/>
              <w:right w:val="single" w:color="000000" w:sz="6" w:space="0"/>
            </w:tcBorders>
            <w:vAlign w:val="center"/>
          </w:tcPr>
          <w:p w14:paraId="2BD35F00">
            <w:pPr>
              <w:spacing w:after="1" w:line="307" w:lineRule="auto"/>
              <w:ind w:right="0" w:firstLine="0"/>
            </w:pPr>
            <w:r>
              <w:rPr>
                <w:rFonts w:ascii="宋体" w:hAnsi="宋体" w:eastAsia="宋体" w:cs="宋体"/>
                <w:sz w:val="24"/>
              </w:rPr>
              <w:t>与研发活动直接相关的其他费用，包括技术图书资料费、资料翻译费、会议费、差旅费、办公费、外事费、研发人员培训费、培养费、专家咨询费、高新科技研发保险费用等。研发成果的论证、评审、验收、评估以及知识产权的申请费、注册</w:t>
            </w:r>
          </w:p>
          <w:p w14:paraId="79D5302F">
            <w:pPr>
              <w:spacing w:after="0" w:line="259" w:lineRule="auto"/>
              <w:ind w:right="0" w:firstLine="0"/>
              <w:jc w:val="both"/>
            </w:pPr>
            <w:r>
              <w:rPr>
                <w:rFonts w:ascii="宋体" w:hAnsi="宋体" w:eastAsia="宋体" w:cs="宋体"/>
                <w:sz w:val="24"/>
              </w:rPr>
              <w:t>费、代理费等费用。</w:t>
            </w:r>
          </w:p>
        </w:tc>
        <w:tc>
          <w:tcPr>
            <w:tcW w:w="1755" w:type="dxa"/>
            <w:tcBorders>
              <w:top w:val="single" w:color="000000" w:sz="6" w:space="0"/>
              <w:left w:val="single" w:color="000000" w:sz="6" w:space="0"/>
              <w:bottom w:val="single" w:color="000000" w:sz="12" w:space="0"/>
              <w:right w:val="single" w:color="000000" w:sz="12" w:space="0"/>
            </w:tcBorders>
            <w:vAlign w:val="center"/>
          </w:tcPr>
          <w:p w14:paraId="6A9B34D0">
            <w:pPr>
              <w:spacing w:after="0" w:line="259" w:lineRule="auto"/>
              <w:ind w:left="1" w:right="0" w:firstLine="0"/>
            </w:pPr>
            <w:r>
              <w:rPr>
                <w:rFonts w:ascii="宋体" w:hAnsi="宋体" w:eastAsia="宋体" w:cs="宋体"/>
                <w:sz w:val="24"/>
              </w:rPr>
              <w:t>加计扣除政策及高新技术企业认定研发费用范围中对其他相关费用总额有比例限制。</w:t>
            </w:r>
          </w:p>
        </w:tc>
      </w:tr>
    </w:tbl>
    <w:p w14:paraId="37804123">
      <w:pPr>
        <w:spacing w:after="85" w:line="259" w:lineRule="auto"/>
        <w:ind w:left="559" w:right="0" w:firstLine="0"/>
      </w:pPr>
      <w:r>
        <w:t>3.研发费用加计扣除“其他相关费用”限额计算方法</w:t>
      </w:r>
    </w:p>
    <w:p w14:paraId="06903817">
      <w:pPr>
        <w:ind w:left="-15" w:right="0"/>
      </w:pPr>
      <w:r>
        <w:t>财税〔2015〕119号明确与研发活动直接相关的其它相关费用，不得超过可加计扣除研发费用总额的10%。根据2021年第28号公告的规定，从 2021年起，企业在一个纳税年度内同时开展多项研发活动的，由原来按照每一研发项目分别计算“其他相关费用”限额，改为统一计算全部研发项目“其他相关费用”限额。</w:t>
      </w:r>
    </w:p>
    <w:p w14:paraId="28227D63">
      <w:pPr>
        <w:spacing w:after="74"/>
        <w:ind w:left="-15" w:right="0"/>
      </w:pPr>
      <w:r>
        <w:t>例如：甲企业2023年开展了A、B两个研发项目，A项目人员人工等五项费用之和为88万元，与研发活动直接相关的其他相关费用12万元；B项目人员人工等五项费用之和为84万元，与研发活动直接相关的其他相关费用8万元，假设两项研发活动均符合加计扣除相关规定。</w:t>
      </w:r>
    </w:p>
    <w:p w14:paraId="13583274">
      <w:pPr>
        <w:ind w:left="-15" w:right="0"/>
      </w:pPr>
      <w:r>
        <w:t>2023年度该企业A、B两个项目的其他相关费用限额为19.11万元[(88 ＋84)×10%÷(1－10%)]，小于实际发生数20万元(12＋8)。则该企业当年允许加计扣除的其他相关费用为19.11万元，允许加计扣除的研发费用为</w:t>
      </w:r>
    </w:p>
    <w:p w14:paraId="5B7F6827">
      <w:pPr>
        <w:spacing w:after="85" w:line="259" w:lineRule="auto"/>
        <w:ind w:left="-15" w:right="0" w:firstLine="0"/>
      </w:pPr>
      <w:r>
        <w:t>191.11万元(88＋84＋19.11)。</w:t>
      </w:r>
    </w:p>
    <w:p w14:paraId="77587934">
      <w:pPr>
        <w:spacing w:after="85" w:line="259" w:lineRule="auto"/>
        <w:ind w:right="41" w:firstLine="0"/>
        <w:jc w:val="right"/>
      </w:pPr>
      <w:r>
        <w:t>2023年该企业的研发费用加计扣除额为191.11万元(191.11×100%)。</w:t>
      </w:r>
    </w:p>
    <w:p w14:paraId="0108313E">
      <w:pPr>
        <w:spacing w:after="85" w:line="259" w:lineRule="auto"/>
        <w:ind w:left="559" w:right="0" w:firstLine="0"/>
      </w:pPr>
      <w:r>
        <w:t>4.资本化项目中“其他相关费用”处理</w:t>
      </w:r>
    </w:p>
    <w:p w14:paraId="3FE02559">
      <w:pPr>
        <w:ind w:left="-15" w:right="0"/>
      </w:pPr>
      <w:r>
        <w:t>按照现行政策规定，2021年及以后年度，对于资本化项目“其他相关费用”的处理分以下</w:t>
      </w:r>
      <w:r>
        <w:rPr>
          <w:color w:val="FF0000"/>
        </w:rPr>
        <w:t>四步</w:t>
      </w:r>
      <w:r>
        <w:t>：第一步按当年全部费用化项目和当年已结束的资本化项目统一计算出当年全部项目“其他相关费用”限额；第二步比较 “其他相关费用”限额及其实际发生数的大小，确定可以加计扣除的“其他相关费用”金额；第三步用可加计扣除的“其他相关费用”金额除以全部项目实际发生的“其他相关费用”，得出可加计扣除比例；第四步用可加计扣除比例乘以每个资本化项目实际发生的“其他相关费用”，得出单个资本化项目可加计扣除的“其他相关费用”，与该项目其他可加计扣除的研发费用一并在以后年度摊销。</w:t>
      </w:r>
    </w:p>
    <w:p w14:paraId="6FA287EB">
      <w:pPr>
        <w:spacing w:after="85" w:line="259" w:lineRule="auto"/>
        <w:ind w:left="559" w:right="0" w:firstLine="0"/>
      </w:pPr>
      <w:r>
        <w:t>5.企业委托研发费用的有关规定</w:t>
      </w:r>
    </w:p>
    <w:p w14:paraId="3BA11A32">
      <w:pPr>
        <w:ind w:left="-15" w:right="0"/>
      </w:pPr>
      <w:r>
        <w:t>企业委托境内的外部机构或个人开展研发活动发生的费用，可按规定税前扣除；加计扣除时按照研发活动发生费用的80%作为加计扣除基数。委托个人研发的，应凭个人出具的发票等合法有效凭证在税前加计扣除（个人可通过电子税务局等渠道申请发票或到税务机关申请代开发票）。其中 “研发活动发生的费用”是指委托方实际支付给受托方的费用。无论委托方是否享受研发费用税前加计扣除政策，受托方均不得加计扣除。委托外部研究开发费用实际发生额应按照独立交易原则确定。</w:t>
      </w:r>
    </w:p>
    <w:p w14:paraId="0B55137C">
      <w:pPr>
        <w:ind w:left="-15" w:right="0"/>
      </w:pPr>
      <w:r>
        <w:t>根据财税〔2018〕64号相关规定，企业委托境外进行研发活动所发生的费用，按照费用实际发生额的80%计入委托方的委托境外研发费用。委托境外研发费用不超过境内符合条件的研发费用三分之二的部分，可以按规定在企业所得税前加计扣除。要注意，</w:t>
      </w:r>
      <w:r>
        <w:rPr>
          <w:color w:val="FF0000"/>
        </w:rPr>
        <w:t>委托境外个人进行研发活动所发生的费用不可加计扣除</w:t>
      </w:r>
      <w:r>
        <w:t>。</w:t>
      </w:r>
    </w:p>
    <w:p w14:paraId="5424BCD5">
      <w:pPr>
        <w:spacing w:after="85" w:line="259" w:lineRule="auto"/>
        <w:ind w:left="559" w:right="0" w:firstLine="0"/>
      </w:pPr>
      <w:r>
        <w:t>6.企业委托关联方和非关联方管理要求的区别</w:t>
      </w:r>
    </w:p>
    <w:p w14:paraId="00CDA85C">
      <w:pPr>
        <w:ind w:left="-15" w:right="0"/>
      </w:pPr>
      <w:r>
        <w:t>委托方委托关联方开展研发活动的，受托方需向委托方提供研发过程中实际发生的研发项目费用支出明细情况。比如，A企业2023年委托B关联企业研发，假设该研发项目符合研发费用加计扣除的相关条件。A企业支付给B企业100万元。B企业实际发生研发费用90万元（其中按可加计扣除口径归集的费用为85万元），利润10万元。2023年，A企业可加计扣除的金额为100×80%×100%=80万元，但B企业应向A企业提供实际发生费用90万元的明细情况。</w:t>
      </w:r>
    </w:p>
    <w:p w14:paraId="6CFF1CB9">
      <w:pPr>
        <w:spacing w:after="241"/>
        <w:ind w:left="-15" w:right="0"/>
      </w:pPr>
      <w:r>
        <w:rPr>
          <w:color w:val="FF0000"/>
        </w:rPr>
        <w:t>委托方委托非关联方开展研发的，考虑到涉及商业秘密等原因，受托方无需向委托方提供研发过程中实际发生的研发项目费用支出明细情</w:t>
      </w:r>
      <w:r>
        <w:t>况。</w:t>
      </w:r>
    </w:p>
    <w:p w14:paraId="0FFB743D">
      <w:pPr>
        <w:pStyle w:val="3"/>
        <w:ind w:left="554"/>
      </w:pPr>
      <w:bookmarkStart w:id="15" w:name="_Toc30241"/>
      <w:r>
        <w:t>（三）冲减研发费用的特殊情况</w:t>
      </w:r>
      <w:bookmarkEnd w:id="15"/>
    </w:p>
    <w:p w14:paraId="2B4EB9DC">
      <w:pPr>
        <w:spacing w:after="85" w:line="259" w:lineRule="auto"/>
        <w:ind w:left="559" w:right="0" w:firstLine="0"/>
      </w:pPr>
      <w:r>
        <w:t>1.特殊收入应扣减可加计扣除的研发费用</w:t>
      </w:r>
    </w:p>
    <w:p w14:paraId="6B038948">
      <w:pPr>
        <w:ind w:left="-15" w:right="0"/>
      </w:pPr>
      <w:r>
        <w:t>企业开展研发活动中实际发生的研发费用可按规定享受加计扣除政策。实务中常有已归集计入研发费用、但在当期取得的研发过程中形成的下脚料、残次品、中间试制品等特殊收入，此类收入均为与研发活动直接相关的收入，应冲减对应的可加计扣除的研发费用。为简便操作，企业取得研发过程中形成的下脚料、残次品、中间试制品等特殊收入，在计算确认收入当年的加计扣除研发费用时，应从已归集研发费用中扣减该特殊收入，不足扣减的，加计扣除研发费用按零计算。</w:t>
      </w:r>
    </w:p>
    <w:p w14:paraId="47D36C92">
      <w:pPr>
        <w:ind w:left="-15"/>
      </w:pPr>
      <w:r>
        <w:t>2.研发活动直接形成产品或作为组成部分形成的产品对外销售的特殊处理生产单机、单品的企业，研发活动直接形成产品或作为组成部分形成的产品对外销售，产品所耗用的料、工、费全部计入研发费用加计扣除不符合政策鼓励本意。考虑到材料费用占比较大且易于计量，企业研发活动直接形成产品或作为组成部分形成的产品对外销售的，研发费用中对应的材料费用不得加计扣除。产品销售与对应的材料费用发生在不同纳税年度且材料费用已计入研发费用的，可在销售当年以对应的材料费用发生额直接冲减当年的研发费用，不足冲减的，结转以后年度继续冲减。</w:t>
      </w:r>
    </w:p>
    <w:p w14:paraId="2703AC2C">
      <w:pPr>
        <w:spacing w:after="85" w:line="259" w:lineRule="auto"/>
        <w:ind w:left="559" w:right="0" w:firstLine="0"/>
      </w:pPr>
      <w:r>
        <w:t>3.政府补助用于研发应区别处理</w:t>
      </w:r>
    </w:p>
    <w:p w14:paraId="6899D893">
      <w:pPr>
        <w:ind w:left="-15" w:right="0"/>
      </w:pPr>
      <w:r>
        <w:t>根据2017年第40号公告规定，企业取得的政府补助，会计处理时采用直接冲减研发费用方法且税务处理时未将其确认为应税收入的，应按冲减后的余额计算加计扣除金额。</w:t>
      </w:r>
    </w:p>
    <w:p w14:paraId="3C642E86">
      <w:pPr>
        <w:spacing w:after="241"/>
        <w:ind w:left="-15" w:right="0"/>
      </w:pPr>
      <w:r>
        <w:t>根据《企业会计准则第16号—政府补助》规定，政府补助有总额法和净额法两种会计处理方法。净额法是将政府补助确认为对相关资产账面价值或者所补偿成本费用等的扣减。按照企业所得税法的规定，企业取得的政府补助应确认为收入，计入收入总额。净额法产生了税会差异。企业在税收上将政府补助确认为应税收入，同时增加研发费用，加计扣除应以税前扣除的研发费用为基数。但企业未进行相应调整的，税前扣除的研发费用与会计的扣除金额相同，应以会计上冲减后的余额计算加计扣除金额。例如：2023年，某企业发生研发费用200万元，取得政府补助50万元，当年会计上的研发费用为150万元，未进行相应的纳税调整，其税前加计扣除金额为150万元(150×100%)。</w:t>
      </w:r>
    </w:p>
    <w:p w14:paraId="731C449A">
      <w:pPr>
        <w:pStyle w:val="3"/>
        <w:ind w:left="554"/>
      </w:pPr>
      <w:bookmarkStart w:id="16" w:name="_Toc30242"/>
      <w:r>
        <w:t>（四）其他事项</w:t>
      </w:r>
      <w:bookmarkEnd w:id="16"/>
    </w:p>
    <w:p w14:paraId="4220B2D7">
      <w:pPr>
        <w:spacing w:after="85" w:line="259" w:lineRule="auto"/>
        <w:ind w:left="559" w:right="0" w:firstLine="0"/>
      </w:pPr>
      <w:r>
        <w:t>1.研发费用加计扣除可以与其他企业所得税优惠事项叠加享受</w:t>
      </w:r>
    </w:p>
    <w:p w14:paraId="4B32B14D">
      <w:pPr>
        <w:ind w:left="-15" w:right="0"/>
      </w:pPr>
      <w:r>
        <w:t>根据《国家税务总局关于发布修订后的&lt;企业所得税优惠政策事项办理办法&gt;的公告》(2018年第23号)的规定，税收优惠，是指企业所得税法规定的优惠事项，以及国务院和民族自治地方根据企业所得税法授权制定的企业所得税优惠事项。包括免税收入、减计收入、加计扣除、加速折旧、所得减免、抵扣应纳税所得额、减低税率、税额抵免等。</w:t>
      </w:r>
    </w:p>
    <w:p w14:paraId="0DCC51A6">
      <w:pPr>
        <w:ind w:left="-15" w:right="0"/>
      </w:pPr>
      <w:r>
        <w:t>按照《财政部 国家税务总局关于执行企业所得税优惠政策若干问题的通知》（财税〔2009〕69号）的规定，企业所得税法及其实施条例中规定的各项税收优惠，凡企业符合规定条件的，可以同时享受。因此，企业既符合享受研发费用加计扣除政策条件，又符合享受其他优惠政策条件的，可以同时享受有关优惠政策。</w:t>
      </w:r>
    </w:p>
    <w:p w14:paraId="24255B29">
      <w:pPr>
        <w:ind w:left="-15" w:right="0"/>
      </w:pPr>
      <w:r>
        <w:t>例如，研发费用加计扣除政策可以叠加享受加速折旧政策。2017年第 40号公告将加速折旧的加计扣除口径调整为就税前扣除的折旧部分计算加计扣除。某企业2022年12月购入并投入使用一专门用于研发活动的设备，单位价值1200万元，会计处理时按8年折旧，税法上规定的最低折旧年限为10年，不考虑残值。企业对该项设备选择缩短折旧年限的加速折旧方式，折旧年限缩短为6年（10×60%=6）。2023年企业会计处理计提折旧额150 万元（1200/8=150），税收上因享受加速折旧优惠可以扣除的折旧额是200 万元（1200/6=200），若该设备6年内用途未发生变化，每年均符合加计扣除政策规定，则企业在6年内每年直接就其税前扣除的“仪器、设备折旧费”200万元进行加计扣除200万元（200×100%=200）。</w:t>
      </w:r>
    </w:p>
    <w:p w14:paraId="5D3E6763">
      <w:pPr>
        <w:spacing w:after="85" w:line="259" w:lineRule="auto"/>
        <w:ind w:left="559" w:right="0" w:firstLine="0"/>
      </w:pPr>
      <w:r>
        <w:t>2.失败的研发活动所发生的研发费用也可加计扣除</w:t>
      </w:r>
    </w:p>
    <w:p w14:paraId="28DEC51F">
      <w:pPr>
        <w:spacing w:after="74"/>
        <w:ind w:left="-15" w:right="0"/>
      </w:pPr>
      <w:r>
        <w:t>失败的研发活动所发生的研发费用也可享受加计扣除。一是企业的研发活动具有一定的风险和不可预测性，既可能成功也可能失败，政策是对研发活动予以鼓励，并非单纯强调结果；二是失败的研发活动也并不是毫无价值的，在一般情况下的“失败”是指没有取得预期的结果，但可以取得其他有价值的成果；三是许多研发项目的执行是跨年度的，在研发项目执行当年，其发生的研发费用就可以享受加计扣除，而不是在项目执行完成并取得最终结果以后才可以申请加计扣除。在享受加计扣除时实际无法预知研发成果，如强调研发成功才能加计扣除，将极大的增加企业享受优惠的成本，降低政策激励的有效性。</w:t>
      </w:r>
    </w:p>
    <w:p w14:paraId="29F819A4">
      <w:pPr>
        <w:spacing w:after="85" w:line="259" w:lineRule="auto"/>
        <w:ind w:left="559" w:right="0" w:firstLine="0"/>
      </w:pPr>
      <w:r>
        <w:t>3.盈利企业和亏损企业都可以享受加计扣除政策</w:t>
      </w:r>
    </w:p>
    <w:p w14:paraId="33A6388F">
      <w:pPr>
        <w:spacing w:after="397"/>
        <w:ind w:left="-15" w:right="0"/>
      </w:pPr>
      <w:r>
        <w:t>现行企业所得税法第五条明确企业每一纳税年度的收入总额，减除不征税收入、免税收入、各项扣除以及允许弥补的以前年度亏损后的余额，为应纳税所得额，因此，</w:t>
      </w:r>
      <w:r>
        <w:rPr>
          <w:color w:val="FF0000"/>
        </w:rPr>
        <w:t>企业发生的研发费用，不论企业当年是盈利还是亏损，其发生符合条件的研发费用均可以加计扣除。亏损企业享受研发费用加计扣除后，将加大亏损额，在结转以后年度弥补亏损时，将减少以后年度的应纳税所得额，从而享受到政策红利</w:t>
      </w:r>
      <w:r>
        <w:t>。</w:t>
      </w:r>
    </w:p>
    <w:p w14:paraId="01D2A94A">
      <w:pPr>
        <w:pStyle w:val="2"/>
      </w:pPr>
      <w:bookmarkStart w:id="17" w:name="_Toc30243"/>
      <w:r>
        <w:t>五、加计扣除研发费用核算要求</w:t>
      </w:r>
      <w:bookmarkEnd w:id="17"/>
    </w:p>
    <w:p w14:paraId="2A4D27BC">
      <w:pPr>
        <w:pStyle w:val="3"/>
        <w:ind w:left="554"/>
      </w:pPr>
      <w:bookmarkStart w:id="18" w:name="_Toc30244"/>
      <w:r>
        <w:t>（一）享受研发费用加计扣除政策的会计核算要求</w:t>
      </w:r>
      <w:bookmarkEnd w:id="18"/>
    </w:p>
    <w:p w14:paraId="47F3383C">
      <w:pPr>
        <w:ind w:left="-15" w:right="0"/>
      </w:pPr>
      <w:r>
        <w:t>企业需要关注的是，财税〔2015〕119号文件对研发费用会计核算提出了若干要求：</w:t>
      </w:r>
    </w:p>
    <w:p w14:paraId="15843A84">
      <w:pPr>
        <w:ind w:left="-15" w:right="0"/>
      </w:pPr>
      <w:r>
        <w:t>1.遵照国家统一会计制度：企业应按照国家财务会计制度要求，对研发支出进行会计处理。</w:t>
      </w:r>
    </w:p>
    <w:p w14:paraId="3312AEE9">
      <w:pPr>
        <w:ind w:left="-15" w:right="0"/>
      </w:pPr>
      <w:r>
        <w:t>2.设置研发支出辅助账：对享受加计扣除的研发费用，按研发项目设置辅助账，准确归集核算当年可加计扣除的各项研发费用实际发生额。企业在一个纳税年度内进行多项研发活动的，应按照不同研发项目分别归集可加计扣除的研发费用。企业研发费用各项目的实际发生额归集不准确的，税务机关有权对其税前扣除额或加计扣除额进行合理调整。</w:t>
      </w:r>
    </w:p>
    <w:p w14:paraId="359AE4EA">
      <w:pPr>
        <w:spacing w:after="242" w:line="324" w:lineRule="auto"/>
        <w:ind w:left="-15" w:right="125"/>
        <w:jc w:val="both"/>
      </w:pPr>
      <w:r>
        <w:t>3.研发费用与生产费用分别核算：企业应对研发费用和生产经营费用分别核算，准确、合理归集各项费用支出，</w:t>
      </w:r>
      <w:r>
        <w:rPr>
          <w:color w:val="FF0000"/>
        </w:rPr>
        <w:t>对划分不清的，不得实行加计扣除</w:t>
      </w:r>
      <w:r>
        <w:t>。</w:t>
      </w:r>
    </w:p>
    <w:p w14:paraId="301B4CFC">
      <w:pPr>
        <w:pStyle w:val="3"/>
        <w:spacing w:after="3" w:line="325" w:lineRule="auto"/>
        <w:ind w:left="559" w:firstLine="0"/>
      </w:pPr>
      <w:bookmarkStart w:id="19" w:name="_Toc30245"/>
      <w:r>
        <w:t>（二）研发支出辅助账的样式</w:t>
      </w:r>
      <w:bookmarkEnd w:id="19"/>
    </w:p>
    <w:p w14:paraId="41B088C3">
      <w:pPr>
        <w:ind w:left="559" w:right="0" w:firstLine="0"/>
      </w:pPr>
      <w:r>
        <w:t>研发项目立项时应设置研发支出辅助账，由企业留存备查。2015年第 97号公告和2021年第28号公告为指导企业设置研发支出辅助账，明确了研发支出辅助账样式，供企业参照使用，以帮助企业防范相关风险。研发支出辅助账样式包括以下几种：</w:t>
      </w:r>
    </w:p>
    <w:p w14:paraId="48A4C1C7">
      <w:pPr>
        <w:ind w:left="-15" w:right="0"/>
      </w:pPr>
      <w:r>
        <w:t>1.2015版研发支出辅助账样式及汇总表：根据2015年第97号公告，研发支出辅助账样式包括4种形式，分别为自主研发“研发支出”辅助账样式、委托研发“研发支出”辅助账样式、合作研发“研发支出”辅助账样式、集中研发“研发支出”辅助账样式。企业继续使用2015版研发支出辅助账样式的，可以参考2021版研发支出辅助账样式对委托境外研发费用、其他相关费用限额的计算公式等进行相应调整。</w:t>
      </w:r>
    </w:p>
    <w:p w14:paraId="11C7AFF7">
      <w:pPr>
        <w:ind w:left="-15" w:right="0"/>
      </w:pPr>
      <w:r>
        <w:t>2.2021版研发支出辅助账样式及汇总表：与2015版研发支出辅助账样式相比，2021版研发支出辅助账样式将辅助账体系由“4张辅助账+1张汇总表”精简为“1张辅助账+1张汇总表”，并精简了辅助账填报项目，减少了企业填写工作量。</w:t>
      </w:r>
    </w:p>
    <w:p w14:paraId="38ABF1B1">
      <w:pPr>
        <w:spacing w:after="241"/>
        <w:ind w:left="-15" w:right="0"/>
      </w:pPr>
      <w:r>
        <w:t>3.自行设计的研发支出辅助账样式：企业按照研发项目设置辅助账时，可以自主选择使用2015版研发支出辅助账样式，或者2021版研发支出辅助账样式，</w:t>
      </w:r>
      <w:r>
        <w:rPr>
          <w:color w:val="FF0000"/>
        </w:rPr>
        <w:t>也可以参照上述样式自行设计研发支出辅助账样式</w:t>
      </w:r>
      <w:r>
        <w:t>。企业自行设计的研发支出辅助账样式，应当包括2021版研发支出辅助账样式所列数据项，且逻辑关系一致，能准确归集允许加计扣除的研发费用。</w:t>
      </w:r>
    </w:p>
    <w:p w14:paraId="16ADBC2E">
      <w:pPr>
        <w:pStyle w:val="3"/>
        <w:ind w:left="554"/>
      </w:pPr>
      <w:bookmarkStart w:id="20" w:name="_Toc30246"/>
      <w:r>
        <w:t>（三）研发支出辅助账核算流程</w:t>
      </w:r>
      <w:bookmarkEnd w:id="20"/>
    </w:p>
    <w:p w14:paraId="236BC6BC">
      <w:pPr>
        <w:spacing w:after="74"/>
        <w:ind w:left="-15" w:right="0"/>
      </w:pPr>
      <w:r>
        <w:t>企业应根据研发项目的形式，在立项后按要求设置辅助账。其中，选择2015版研发支出辅助账样式的，应根据研发项目的形式选择相应的辅助账样式，如自主研发的项目，选择自主研发“研发支出”辅助账样式，委托研发的项目，选择委托研发“研发支出”辅助账样式等；选择2021版研发支出辅助账样式的，按研发项目设置辅助账即可。</w:t>
      </w:r>
      <w:r>
        <w:rPr>
          <w:b/>
          <w:bCs/>
          <w:color w:val="FF0000"/>
        </w:rPr>
        <w:t>同一项目既涉及费用化，又涉及资本化的应分别设置辅助账</w:t>
      </w:r>
      <w:r>
        <w:t>。</w:t>
      </w:r>
    </w:p>
    <w:p w14:paraId="6B2F7D17">
      <w:pPr>
        <w:spacing w:after="628"/>
        <w:ind w:left="-15" w:right="0"/>
      </w:pPr>
      <w:r>
        <w:t>企业应根据研发支出辅助账，汇总填报辅助账汇总表。需注意的是，研发支出辅助账汇总表应填报所属期间的费用化及已结束的资本化项目的研发支出金额。具体核算流程可见下图：</w:t>
      </w:r>
    </w:p>
    <w:p w14:paraId="67AD4A04">
      <w:pPr>
        <w:spacing w:after="181" w:line="259" w:lineRule="auto"/>
        <w:ind w:left="-12" w:right="0" w:firstLine="0"/>
      </w:pPr>
      <w:r>
        <w:drawing>
          <wp:inline distT="0" distB="0" distL="0" distR="0">
            <wp:extent cx="5669280" cy="4870450"/>
            <wp:effectExtent l="0" t="0" r="0" b="0"/>
            <wp:docPr id="3322" name="Picture 3322"/>
            <wp:cNvGraphicFramePr/>
            <a:graphic xmlns:a="http://schemas.openxmlformats.org/drawingml/2006/main">
              <a:graphicData uri="http://schemas.openxmlformats.org/drawingml/2006/picture">
                <pic:pic xmlns:pic="http://schemas.openxmlformats.org/drawingml/2006/picture">
                  <pic:nvPicPr>
                    <pic:cNvPr id="3322" name="Picture 3322"/>
                    <pic:cNvPicPr/>
                  </pic:nvPicPr>
                  <pic:blipFill>
                    <a:blip r:embed="rId12"/>
                    <a:stretch>
                      <a:fillRect/>
                    </a:stretch>
                  </pic:blipFill>
                  <pic:spPr>
                    <a:xfrm>
                      <a:off x="0" y="0"/>
                      <a:ext cx="5669280" cy="4870704"/>
                    </a:xfrm>
                    <a:prstGeom prst="rect">
                      <a:avLst/>
                    </a:prstGeom>
                  </pic:spPr>
                </pic:pic>
              </a:graphicData>
            </a:graphic>
          </wp:inline>
        </w:drawing>
      </w:r>
    </w:p>
    <w:p w14:paraId="589E07A6">
      <w:pPr>
        <w:spacing w:after="182" w:line="369" w:lineRule="auto"/>
        <w:ind w:left="-15" w:right="0" w:firstLine="388"/>
      </w:pPr>
      <w:r>
        <w:rPr>
          <w:sz w:val="24"/>
        </w:rPr>
        <w:t>注：“填报申报表”中的“预缴”是指7月份预缴申报第2季度（按季预缴）或6 月份（按月预缴）企业所得税及10月份预缴申报第3季度（按季预缴）或9月份（按月预缴）企业所得税。</w:t>
      </w:r>
    </w:p>
    <w:p w14:paraId="0A0DB1D3">
      <w:pPr>
        <w:pStyle w:val="3"/>
        <w:spacing w:after="3" w:line="325" w:lineRule="auto"/>
        <w:ind w:left="559" w:firstLine="0"/>
      </w:pPr>
      <w:bookmarkStart w:id="21" w:name="_Toc30247"/>
      <w:r>
        <w:t>（四）研发费用的费用化或资本化处理方面的规定</w:t>
      </w:r>
      <w:bookmarkEnd w:id="21"/>
    </w:p>
    <w:p w14:paraId="052A01BC">
      <w:pPr>
        <w:ind w:left="559" w:right="0" w:firstLine="0"/>
      </w:pPr>
      <w:r>
        <w:t>企业开展研发活动中实际发生的研发费用形成无形资产的，其税收上资本化的时点应与会计处理保持一致。《企业会计准则第6号-无形资产》规定，企业内部研究开发项目的支出，应当区分研究阶段支出与开发阶段支出。</w:t>
      </w:r>
    </w:p>
    <w:p w14:paraId="494505D3">
      <w:pPr>
        <w:spacing w:after="85" w:line="259" w:lineRule="auto"/>
        <w:ind w:left="559" w:right="0" w:firstLine="0"/>
      </w:pPr>
      <w:r>
        <w:t>1.研究阶段支出</w:t>
      </w:r>
    </w:p>
    <w:p w14:paraId="3756DEC0">
      <w:pPr>
        <w:ind w:left="-15" w:right="0"/>
      </w:pPr>
      <w:r>
        <w:t>研究，是指为获取新的科学或技术知识并理解它们而进行的独创性的有计划调查。比如，意在获取知识而进行的活动，研究成果或其他知识的应用研究、评价和最终选择，材料、设备、产品、工序、系统或服务替代品的研究，新的或经改进的材料、设备、产品、工序、系统或服务的可能替代品的配制、设计、评价和最终选择等，均属于研究活动。</w:t>
      </w:r>
    </w:p>
    <w:p w14:paraId="57DE83B1">
      <w:pPr>
        <w:ind w:left="-15" w:right="0"/>
      </w:pPr>
      <w:bookmarkStart w:id="22" w:name="OLE_LINK1"/>
      <w:r>
        <w:t>研究阶段是探索性的，已进行的研究活动将来是否会转入开发、开发后是否会形成无形资产等均具有较大的不确定性。因此，对于企业内部研究开发项目，研究阶段的有关支出，应当在发生时全部费用化，计入当期损益（管理费用）。</w:t>
      </w:r>
    </w:p>
    <w:bookmarkEnd w:id="22"/>
    <w:p w14:paraId="4F7FAFA2">
      <w:pPr>
        <w:spacing w:after="85" w:line="259" w:lineRule="auto"/>
        <w:ind w:left="559" w:right="0" w:firstLine="0"/>
      </w:pPr>
      <w:r>
        <w:t>2.开发阶段支出</w:t>
      </w:r>
    </w:p>
    <w:p w14:paraId="78CD3B83">
      <w:pPr>
        <w:ind w:left="-15" w:right="0"/>
      </w:pPr>
      <w:r>
        <w:t>开发，是指在进行商业性生产或使用前，将研究成果或其他知识应用于某项计划或设计，以生产出新的或具有实质性改进的材料、装置、产品等。比如，生产前或使用前的原型和模型的设计、建造和测试，不具有商业性生产经济规模的试生产设施的设计、建造和运营等，均属于开发活动。</w:t>
      </w:r>
    </w:p>
    <w:p w14:paraId="79C0777A">
      <w:pPr>
        <w:ind w:left="-15" w:right="0"/>
      </w:pPr>
      <w:r>
        <w:t>考虑到进入开发阶段的研发项目形成成果的可能性较大，如果企业能够证明开发支出符合无形资产的定义及相关确认条件，则可将其确认为无形资产。具体来讲，对于企业内部研究开发项目，开发阶段的支出同时满足了下列条件的才能资本化，确认为无形资产，否则应当计入当期损益（管理费用）。</w:t>
      </w:r>
    </w:p>
    <w:p w14:paraId="0F85EFDD">
      <w:pPr>
        <w:numPr>
          <w:ilvl w:val="0"/>
          <w:numId w:val="12"/>
        </w:numPr>
        <w:spacing w:after="85" w:line="259" w:lineRule="auto"/>
        <w:ind w:right="0" w:firstLine="0"/>
      </w:pPr>
      <w:r>
        <w:t>完成该无形资产以使其能够使用或出售在技术上具有可行性。</w:t>
      </w:r>
    </w:p>
    <w:p w14:paraId="1EA7F22F">
      <w:pPr>
        <w:numPr>
          <w:ilvl w:val="0"/>
          <w:numId w:val="12"/>
        </w:numPr>
        <w:ind w:right="0" w:firstLine="0"/>
      </w:pPr>
      <w:r>
        <w:t>具有完成该无形资产并使用或出售的意图。</w:t>
      </w:r>
    </w:p>
    <w:p w14:paraId="4D4A6F07">
      <w:pPr>
        <w:numPr>
          <w:ilvl w:val="0"/>
          <w:numId w:val="12"/>
        </w:numPr>
        <w:ind w:right="0" w:firstLine="0"/>
      </w:pPr>
      <w:r>
        <w:t>无形资产产生经济利益的方式，包括能够证明运用该无形资产生产的产品存在市场或无形资产自身存在市场，无形资产将在内部使用的，应当证明其有用性。</w:t>
      </w:r>
    </w:p>
    <w:p w14:paraId="13766305">
      <w:pPr>
        <w:numPr>
          <w:ilvl w:val="0"/>
          <w:numId w:val="13"/>
        </w:numPr>
        <w:ind w:right="0"/>
      </w:pPr>
      <w:r>
        <w:t>有足够的技术、财务资源和其他资源支持，以完成该无形资产的开发，并有能力使用或出售该无形资产。</w:t>
      </w:r>
    </w:p>
    <w:p w14:paraId="3C140B4D">
      <w:pPr>
        <w:numPr>
          <w:ilvl w:val="0"/>
          <w:numId w:val="13"/>
        </w:numPr>
        <w:spacing w:after="85" w:line="259" w:lineRule="auto"/>
        <w:ind w:right="0"/>
      </w:pPr>
      <w:r>
        <w:t>归属于该无形资产开发阶段的支出能够可靠地计量。</w:t>
      </w:r>
    </w:p>
    <w:p w14:paraId="7E3BE5CF">
      <w:pPr>
        <w:spacing w:after="85" w:line="259" w:lineRule="auto"/>
        <w:ind w:left="559" w:right="0" w:firstLine="0"/>
      </w:pPr>
      <w:r>
        <w:t>3.无法区分研究阶段和开发阶段的支出</w:t>
      </w:r>
    </w:p>
    <w:p w14:paraId="665E32BF">
      <w:pPr>
        <w:spacing w:after="241"/>
        <w:ind w:left="-15" w:right="0"/>
      </w:pPr>
      <w:r>
        <w:t>无法区分研究阶段和开发阶段的支出，应当在发生时费用化，计入当期损益（管理费用）。</w:t>
      </w:r>
    </w:p>
    <w:p w14:paraId="5222CB6F">
      <w:pPr>
        <w:pStyle w:val="3"/>
        <w:ind w:left="554"/>
      </w:pPr>
      <w:bookmarkStart w:id="23" w:name="_Toc30248"/>
      <w:r>
        <w:t>（五）共用的人员及仪器、设备、无形资产核算要求</w:t>
      </w:r>
      <w:bookmarkEnd w:id="23"/>
    </w:p>
    <w:p w14:paraId="0D5A2FFC">
      <w:pPr>
        <w:spacing w:after="241"/>
        <w:ind w:left="-15" w:right="0"/>
      </w:pPr>
      <w:r>
        <w:t>部分企业特别是中小企业，从事研发活动的人员同时也会承担生产经营管理等职能，用于研发活动的仪器、设备、无形资产同时也会用于非研发活动。财税〔2015〕119号对允许加计扣除的研发费用不再强调“专门用于”，为准确核算研发费用，企业应对此类人员参与研发活动情况及仪器、设备、无形资产的使用情况做必要记录，并将其实际发生的相关费用按实际工时占比等合理方法在研发费用和生产经营费用间分配，未分配的不得加计扣除。</w:t>
      </w:r>
    </w:p>
    <w:p w14:paraId="5F9E8F69">
      <w:pPr>
        <w:pStyle w:val="3"/>
        <w:ind w:left="554"/>
      </w:pPr>
      <w:bookmarkStart w:id="24" w:name="_Toc30249"/>
      <w:r>
        <w:t>（六）研发费用的核算须做好部门间协调配合</w:t>
      </w:r>
      <w:bookmarkEnd w:id="24"/>
    </w:p>
    <w:p w14:paraId="39BAE6D3">
      <w:pPr>
        <w:spacing w:after="241"/>
        <w:ind w:left="-15" w:right="0"/>
      </w:pPr>
      <w:r>
        <w:t>研发费用的核算需要做大量的准备工作，如研发费用加计扣除政策要求的留存备查资料涉及公司决议、研发合同、会计账簿、相关科技成果资料等，因此需要企业研发、财务等各职能部门密切配合。如果各部门不能有效配合，导致相关资料不全，会计核算不准确、不完整，会影响到准确归集研发费用以及享受优惠政策。</w:t>
      </w:r>
    </w:p>
    <w:p w14:paraId="240B09E9">
      <w:pPr>
        <w:pStyle w:val="3"/>
        <w:spacing w:after="3" w:line="325" w:lineRule="auto"/>
        <w:ind w:left="559" w:firstLine="0"/>
      </w:pPr>
      <w:bookmarkStart w:id="25" w:name="_Toc30250"/>
      <w:r>
        <w:t>（七）企业集团集中开发的研发费用分摊需要关注关联申报</w:t>
      </w:r>
      <w:bookmarkEnd w:id="25"/>
    </w:p>
    <w:p w14:paraId="310580EB">
      <w:pPr>
        <w:ind w:left="559" w:right="0" w:firstLine="0"/>
      </w:pPr>
      <w:r>
        <w:t>企业集团根据生产经营和科技开发的实际情况，对集中研发项目按照财税〔2015〕119号规定归集的可加计扣除的研发费用，按照权利和义务相一致、费用支出和收益分享相配比的原则，合理确定研发费用的分摊方法，在受益成员企业间进行分摊，由相关成员企业分别计算加计扣除。</w:t>
      </w:r>
    </w:p>
    <w:p w14:paraId="5D75393D">
      <w:pPr>
        <w:ind w:left="-15" w:right="0"/>
      </w:pPr>
      <w:r>
        <w:t>企业集团应将集中研发项目的协议或合同、集中研发项目研发费决算表，集中研发项目费用分摊明细情况表和实际分享收益比例等资料提供给相关成员企业。协议或合同应明确参与各方在该研发项目中的权利和义务、费用分摊方法等内容。</w:t>
      </w:r>
    </w:p>
    <w:p w14:paraId="2E7683D1">
      <w:pPr>
        <w:spacing w:after="241"/>
        <w:ind w:left="-15" w:right="0"/>
      </w:pPr>
      <w:r>
        <w:t>根据《国家税务总局关于完善关联申报和同期资料管理有关事项的公告》（2016年第42号）的规定，</w:t>
      </w:r>
      <w:r>
        <w:rPr>
          <w:color w:val="FF0000"/>
        </w:rPr>
        <w:t>企业集团开发、应用无形资产及确定无形资产所有权归属的整体战略，包括主要研发机构所在地和研发管理活动发生地及其主要功能、风险、资产和人员情况等应在</w:t>
      </w:r>
      <w:r>
        <w:rPr>
          <w:b/>
          <w:bCs/>
          <w:color w:val="FF0000"/>
        </w:rPr>
        <w:t>主体文档</w:t>
      </w:r>
      <w:r>
        <w:rPr>
          <w:color w:val="FF0000"/>
        </w:rPr>
        <w:t>中披露</w:t>
      </w:r>
      <w:r>
        <w:t>。</w:t>
      </w:r>
    </w:p>
    <w:p w14:paraId="4C14F130">
      <w:pPr>
        <w:pStyle w:val="3"/>
        <w:ind w:left="554"/>
      </w:pPr>
      <w:bookmarkStart w:id="26" w:name="_Toc30251"/>
      <w:r>
        <w:t>（八）合作研发项目核算要求</w:t>
      </w:r>
      <w:bookmarkEnd w:id="26"/>
    </w:p>
    <w:p w14:paraId="174FA82C">
      <w:pPr>
        <w:spacing w:after="397"/>
        <w:ind w:left="-15" w:right="0"/>
      </w:pPr>
      <w:r>
        <w:t>财税〔2015〕119号规定，企业共同合作开发的项目，由合作各方就自身实际承担的研发费用分别计算加计扣除。企业共同合作研发的项目，由合作各方就自身实际承担的研发费用，按照项目计划书、</w:t>
      </w:r>
      <w:r>
        <w:rPr>
          <w:color w:val="FF0000"/>
        </w:rPr>
        <w:t>经登记的技术开发（合作）合同等进行分项目会计核算</w:t>
      </w:r>
      <w:r>
        <w:t>、设置研发支出辅助账，并按照研发费用归集范围分别计算加计扣除。</w:t>
      </w:r>
    </w:p>
    <w:p w14:paraId="709D60E1">
      <w:pPr>
        <w:pStyle w:val="2"/>
        <w:ind w:right="142"/>
      </w:pPr>
      <w:bookmarkStart w:id="27" w:name="_Toc30252"/>
      <w:r>
        <w:t>六、研发费用加计扣除申报和后续管理</w:t>
      </w:r>
      <w:bookmarkEnd w:id="27"/>
    </w:p>
    <w:p w14:paraId="4FD79DF4">
      <w:pPr>
        <w:pStyle w:val="3"/>
        <w:ind w:left="554"/>
      </w:pPr>
      <w:bookmarkStart w:id="28" w:name="_Toc30253"/>
      <w:r>
        <w:t>（一）享受研发费用加计扣除政策的办理方式</w:t>
      </w:r>
      <w:bookmarkEnd w:id="28"/>
    </w:p>
    <w:p w14:paraId="7B1DC741">
      <w:pPr>
        <w:ind w:left="-15" w:right="0"/>
      </w:pPr>
      <w:r>
        <w:t>企业享受研发费用加计扣除优惠政策采取“真实发生、自行判别、申报享受、相关资料留存备查”的办理方式。具体流程可见下图：</w:t>
      </w:r>
    </w:p>
    <w:p w14:paraId="28F27200">
      <w:pPr>
        <w:spacing w:after="193" w:line="259" w:lineRule="auto"/>
        <w:ind w:left="506" w:right="0" w:firstLine="0"/>
      </w:pPr>
      <w:r>
        <w:drawing>
          <wp:inline distT="0" distB="0" distL="0" distR="0">
            <wp:extent cx="5115560" cy="4756150"/>
            <wp:effectExtent l="0" t="0" r="0" b="0"/>
            <wp:docPr id="3515" name="Picture 3515"/>
            <wp:cNvGraphicFramePr/>
            <a:graphic xmlns:a="http://schemas.openxmlformats.org/drawingml/2006/main">
              <a:graphicData uri="http://schemas.openxmlformats.org/drawingml/2006/picture">
                <pic:pic xmlns:pic="http://schemas.openxmlformats.org/drawingml/2006/picture">
                  <pic:nvPicPr>
                    <pic:cNvPr id="3515" name="Picture 3515"/>
                    <pic:cNvPicPr/>
                  </pic:nvPicPr>
                  <pic:blipFill>
                    <a:blip r:embed="rId13"/>
                    <a:stretch>
                      <a:fillRect/>
                    </a:stretch>
                  </pic:blipFill>
                  <pic:spPr>
                    <a:xfrm>
                      <a:off x="0" y="0"/>
                      <a:ext cx="5116068" cy="4756404"/>
                    </a:xfrm>
                    <a:prstGeom prst="rect">
                      <a:avLst/>
                    </a:prstGeom>
                  </pic:spPr>
                </pic:pic>
              </a:graphicData>
            </a:graphic>
          </wp:inline>
        </w:drawing>
      </w:r>
    </w:p>
    <w:p w14:paraId="4C4FDCEF">
      <w:pPr>
        <w:spacing w:after="394" w:line="240" w:lineRule="auto"/>
        <w:ind w:left="-15" w:right="0" w:firstLine="480"/>
      </w:pPr>
      <w:r>
        <w:rPr>
          <w:sz w:val="24"/>
        </w:rPr>
        <w:t>注：“季度和年度终了”中的“季度”是指“申报享受研发费用加计扣除政策的二季度和三季度”；“享受优惠时”中的“预缴”是指7月份预缴申报第2季度（按季预缴）或6月份（按月预缴）企业所得税及10月份预缴申报第3季度（按季预缴）或9 月份（按月预缴）企业所得税。</w:t>
      </w:r>
    </w:p>
    <w:p w14:paraId="4366039E">
      <w:pPr>
        <w:pStyle w:val="3"/>
        <w:ind w:left="554"/>
      </w:pPr>
      <w:bookmarkStart w:id="29" w:name="_Toc30254"/>
      <w:r>
        <w:t>（二）享受研发费用加计扣除政策的时点</w:t>
      </w:r>
      <w:bookmarkEnd w:id="29"/>
    </w:p>
    <w:p w14:paraId="4FB49FDF">
      <w:pPr>
        <w:spacing w:after="85" w:line="259" w:lineRule="auto"/>
        <w:ind w:left="559" w:right="0" w:firstLine="0"/>
      </w:pPr>
      <w:r>
        <w:t>1.预缴申报享受</w:t>
      </w:r>
    </w:p>
    <w:p w14:paraId="3B50677E">
      <w:pPr>
        <w:numPr>
          <w:ilvl w:val="0"/>
          <w:numId w:val="14"/>
        </w:numPr>
        <w:ind w:right="0"/>
      </w:pPr>
      <w:r>
        <w:t>企业7月份预缴申报第2季度（按季预缴）或6月份（按月预缴）企业所得税时，能准确归集核算研发费用的，可以结合自身生产经营实际情况，自主选择就当年上半年研发费用享受加计扣除政策。</w:t>
      </w:r>
    </w:p>
    <w:p w14:paraId="70EEB698">
      <w:pPr>
        <w:spacing w:after="74"/>
        <w:ind w:left="-15" w:right="0"/>
      </w:pPr>
      <w:r>
        <w:t>对7月份预缴申报期未选择享受优惠的企业，在10月份预缴申报或年度汇算清缴时能够准确归集核算研发费用的，可结合自身生产经营实际情况，自主选择在10月份预缴申报或年度汇算清缴时统一享受。</w:t>
      </w:r>
    </w:p>
    <w:p w14:paraId="688A1EE4">
      <w:pPr>
        <w:numPr>
          <w:ilvl w:val="0"/>
          <w:numId w:val="14"/>
        </w:numPr>
        <w:ind w:right="0"/>
      </w:pPr>
      <w:r>
        <w:t>企业10月份预缴申报第3季度（按季预缴）或9月份（按月预缴）企业所得税时，能准确归集核算研发费用的，企业可结合自身生产经营实际情况，自主选择就当年前三季度研发费用享受加计扣除政策。</w:t>
      </w:r>
    </w:p>
    <w:p w14:paraId="61832F06">
      <w:pPr>
        <w:ind w:left="-15" w:right="0"/>
      </w:pPr>
      <w:r>
        <w:t>对10月份预缴申报期未选择享受优惠的企业，在年度汇算清缴时能够准确归集核算研发费用的，可结合自身生产经营实际情况，自主选择在年度汇算清缴时统一享受。</w:t>
      </w:r>
    </w:p>
    <w:p w14:paraId="042094D6">
      <w:pPr>
        <w:spacing w:after="85" w:line="259" w:lineRule="auto"/>
        <w:ind w:left="559" w:right="0" w:firstLine="0"/>
      </w:pPr>
      <w:r>
        <w:t>2.汇缴申报享受</w:t>
      </w:r>
    </w:p>
    <w:p w14:paraId="3304F549">
      <w:pPr>
        <w:spacing w:after="241"/>
        <w:ind w:left="-15" w:right="0"/>
      </w:pPr>
      <w:r>
        <w:t>企业年度汇算清缴时能够准确归集核算研发费用的，可以就当年发生的研发费用享受加计扣除政策。</w:t>
      </w:r>
    </w:p>
    <w:p w14:paraId="08131695">
      <w:pPr>
        <w:pStyle w:val="3"/>
        <w:ind w:left="554"/>
      </w:pPr>
      <w:bookmarkStart w:id="30" w:name="_Toc30255"/>
      <w:r>
        <w:t>（三）享受研发费用加计扣除政策的留存备查资料</w:t>
      </w:r>
      <w:bookmarkEnd w:id="30"/>
    </w:p>
    <w:p w14:paraId="27E22CF1">
      <w:pPr>
        <w:ind w:left="-15" w:right="0"/>
      </w:pPr>
      <w:r>
        <w:t>1.企业自主、委托境内、合作、集中研发费用享受加计扣除政策的，应留存备查以下资料：</w:t>
      </w:r>
    </w:p>
    <w:p w14:paraId="0E359A04">
      <w:pPr>
        <w:numPr>
          <w:ilvl w:val="0"/>
          <w:numId w:val="15"/>
        </w:numPr>
        <w:ind w:right="0"/>
      </w:pPr>
      <w:r>
        <w:t>自主、委托、合作研究开发项目计划书和企业有权部门关于自主、委托、合作研究开发项目立项的决议文件；</w:t>
      </w:r>
    </w:p>
    <w:p w14:paraId="41EB2FD5">
      <w:pPr>
        <w:numPr>
          <w:ilvl w:val="0"/>
          <w:numId w:val="15"/>
        </w:numPr>
        <w:ind w:right="0"/>
      </w:pPr>
      <w:r>
        <w:t>自主、委托、合作研究开发专门机构或项目组的编制情况和研发人员名单；</w:t>
      </w:r>
    </w:p>
    <w:p w14:paraId="33E49734">
      <w:pPr>
        <w:numPr>
          <w:ilvl w:val="0"/>
          <w:numId w:val="15"/>
        </w:numPr>
        <w:ind w:right="0"/>
      </w:pPr>
      <w:r>
        <w:t>经科技行政主管部门登记的</w:t>
      </w:r>
      <w:r>
        <w:rPr>
          <w:color w:val="FF0000"/>
        </w:rPr>
        <w:t>委托、合作研究开发</w:t>
      </w:r>
      <w:r>
        <w:t>项目的合同，科技行政主管部门一般是指技术合同登记机构；</w:t>
      </w:r>
    </w:p>
    <w:p w14:paraId="6A98BD1E">
      <w:pPr>
        <w:numPr>
          <w:ilvl w:val="0"/>
          <w:numId w:val="15"/>
        </w:numPr>
        <w:spacing w:line="324" w:lineRule="auto"/>
        <w:ind w:right="0"/>
      </w:pPr>
      <w:r>
        <w:t>从事研发活动的人员（包括外聘人员）和用于研发活动的仪器、设备、无形资产的费用分配说明（包括工作使用情况记录及费用分配计算证据材料）；</w:t>
      </w:r>
    </w:p>
    <w:p w14:paraId="31F212B2">
      <w:pPr>
        <w:numPr>
          <w:ilvl w:val="0"/>
          <w:numId w:val="15"/>
        </w:numPr>
        <w:ind w:right="0"/>
      </w:pPr>
      <w:r>
        <w:t>集中研发项目研发费决算表、集中研发项目费用分摊明细情况表和实际分享收益比例等资料；</w:t>
      </w:r>
    </w:p>
    <w:p w14:paraId="458AB580">
      <w:pPr>
        <w:numPr>
          <w:ilvl w:val="0"/>
          <w:numId w:val="15"/>
        </w:numPr>
        <w:ind w:right="0"/>
      </w:pPr>
      <w:r>
        <w:t>“研发支出”辅助账及汇总表；</w:t>
      </w:r>
    </w:p>
    <w:p w14:paraId="640D5B4F">
      <w:pPr>
        <w:numPr>
          <w:ilvl w:val="0"/>
          <w:numId w:val="15"/>
        </w:numPr>
        <w:ind w:right="0"/>
      </w:pPr>
      <w:r>
        <w:t>企业如果已取得地市级（含）以上科技行政主管部门出具的鉴定意见，应作为资料留存备查。</w:t>
      </w:r>
    </w:p>
    <w:p w14:paraId="74582F43">
      <w:pPr>
        <w:spacing w:after="85" w:line="259" w:lineRule="auto"/>
        <w:ind w:left="559" w:right="0" w:firstLine="0"/>
      </w:pPr>
      <w:r>
        <w:t>2.企业委托境外研发费用享受加计扣除政策的，应留存备查以下资料：</w:t>
      </w:r>
    </w:p>
    <w:p w14:paraId="415C80BF">
      <w:pPr>
        <w:numPr>
          <w:ilvl w:val="0"/>
          <w:numId w:val="16"/>
        </w:numPr>
        <w:spacing w:after="85" w:line="259" w:lineRule="auto"/>
        <w:ind w:right="0"/>
      </w:pPr>
      <w:r>
        <w:t>企业委托研发项目计划书和企业有权部门立项的决议文件；</w:t>
      </w:r>
    </w:p>
    <w:p w14:paraId="09F0B49F">
      <w:pPr>
        <w:numPr>
          <w:ilvl w:val="0"/>
          <w:numId w:val="16"/>
        </w:numPr>
        <w:spacing w:after="85" w:line="259" w:lineRule="auto"/>
        <w:ind w:right="0"/>
      </w:pPr>
      <w:r>
        <w:t>委托研究开发专门机构或项目组的编制情况和研发人员名单；</w:t>
      </w:r>
    </w:p>
    <w:p w14:paraId="06B5BB5B">
      <w:pPr>
        <w:numPr>
          <w:ilvl w:val="0"/>
          <w:numId w:val="16"/>
        </w:numPr>
        <w:ind w:right="0"/>
      </w:pPr>
      <w:r>
        <w:t>经科技行政主管部门登记的委托境外研发合同，科技行政主管部门一般是指技术合同登记机构；</w:t>
      </w:r>
    </w:p>
    <w:p w14:paraId="6B382E3E">
      <w:pPr>
        <w:numPr>
          <w:ilvl w:val="0"/>
          <w:numId w:val="16"/>
        </w:numPr>
        <w:spacing w:after="85" w:line="259" w:lineRule="auto"/>
        <w:ind w:right="0"/>
      </w:pPr>
      <w:r>
        <w:t>“研发支出”辅助账及汇总表；</w:t>
      </w:r>
    </w:p>
    <w:p w14:paraId="1D708624">
      <w:pPr>
        <w:numPr>
          <w:ilvl w:val="0"/>
          <w:numId w:val="16"/>
        </w:numPr>
        <w:spacing w:after="85" w:line="259" w:lineRule="auto"/>
        <w:ind w:right="0"/>
      </w:pPr>
      <w:r>
        <w:t>委托境外研发银行支付凭证和受托方开具的收款凭据；</w:t>
      </w:r>
    </w:p>
    <w:p w14:paraId="557BFC0F">
      <w:pPr>
        <w:numPr>
          <w:ilvl w:val="0"/>
          <w:numId w:val="16"/>
        </w:numPr>
        <w:spacing w:after="85" w:line="259" w:lineRule="auto"/>
        <w:ind w:right="0"/>
      </w:pPr>
      <w:r>
        <w:t>当年委托研发项目的进展情况等资料。</w:t>
      </w:r>
    </w:p>
    <w:p w14:paraId="1D3796FE">
      <w:pPr>
        <w:numPr>
          <w:ilvl w:val="0"/>
          <w:numId w:val="16"/>
        </w:numPr>
        <w:ind w:right="0"/>
      </w:pPr>
      <w:r>
        <w:t>企业如果已取得地市级（含）以上科技行政主管部门出具的鉴定意见，应作为资料留存备查。</w:t>
      </w:r>
    </w:p>
    <w:p w14:paraId="6EE9B8DD">
      <w:pPr>
        <w:spacing w:after="85" w:line="259" w:lineRule="auto"/>
        <w:ind w:left="559" w:right="0" w:firstLine="0"/>
      </w:pPr>
      <w:r>
        <w:t>企业预缴申报享受优惠时，应将《研发费用加计扣除优惠明细表》</w:t>
      </w:r>
    </w:p>
    <w:p w14:paraId="6484024E">
      <w:pPr>
        <w:spacing w:after="85" w:line="259" w:lineRule="auto"/>
        <w:ind w:left="-15" w:right="0" w:firstLine="0"/>
      </w:pPr>
      <w:r>
        <w:t>（A107012）与规定的其他资料一并留存备查。</w:t>
      </w:r>
    </w:p>
    <w:p w14:paraId="76B1CD23">
      <w:pPr>
        <w:spacing w:after="241"/>
        <w:ind w:left="-15" w:right="0"/>
      </w:pPr>
      <w:r>
        <w:t>企业对留存备查资料的真实性、合法性承担法律责任。按照2018年第 23号公告，企业留存备查资料应从企业享受优惠事项当年的企业所得税汇算清缴期结束</w:t>
      </w:r>
      <w:r>
        <w:rPr>
          <w:color w:val="FF0000"/>
        </w:rPr>
        <w:t>次日起保留10年</w:t>
      </w:r>
      <w:r>
        <w:t>。</w:t>
      </w:r>
    </w:p>
    <w:p w14:paraId="64C3AD43">
      <w:pPr>
        <w:pStyle w:val="3"/>
        <w:ind w:left="554"/>
      </w:pPr>
      <w:bookmarkStart w:id="31" w:name="_Toc30256"/>
      <w:r>
        <w:t>（四）税务机关后续管理</w:t>
      </w:r>
      <w:bookmarkEnd w:id="31"/>
    </w:p>
    <w:p w14:paraId="630AA299">
      <w:pPr>
        <w:ind w:left="-15" w:right="0"/>
      </w:pPr>
      <w:r>
        <w:t>企业享受优惠事项后，税务机关应适时开展后续管理。在后续管理时，企业应当根据税务机关管理服务的需要，按照规定的期限和方式提供留存备查资料，以证实享受优惠事项符合条件。企业未能按照税务机关要求提供留存备查资料，或者提供的留存备查资料与实际生产经营情况、财务核算情况等不符，无法证实符合优惠事项规定条件的，或者存在弄虚作假情况的，税务机关将依法追缴其已享受的企业所得税优惠，并按照税收征管法等相关规定处理。</w:t>
      </w:r>
    </w:p>
    <w:p w14:paraId="2DD6760B">
      <w:pPr>
        <w:pStyle w:val="3"/>
        <w:ind w:left="554"/>
      </w:pPr>
      <w:bookmarkStart w:id="32" w:name="_Toc30257"/>
      <w:r>
        <w:t>（五）其他注意事项</w:t>
      </w:r>
      <w:bookmarkEnd w:id="32"/>
    </w:p>
    <w:p w14:paraId="23E0D373">
      <w:pPr>
        <w:ind w:left="-15" w:right="142"/>
      </w:pPr>
      <w:r>
        <w:t>1.享受研发费用加计扣除的研发项目无需事先通过相关部门鉴定或立项企业申报享受研发费用加计扣除优惠，无需事前通过科技部门鉴定。</w:t>
      </w:r>
    </w:p>
    <w:p w14:paraId="2131FF84">
      <w:pPr>
        <w:ind w:left="-15" w:right="0"/>
      </w:pPr>
      <w:r>
        <w:t>企业研发项目立项，只需企业内部有决策权的部门，如董事会等作出决议即可，无需经过科技部门和税务部门进行立项备案。政府及相关部门支持的重点项目，根据政府部门立项管理的相关要求办理。</w:t>
      </w:r>
      <w:r>
        <w:rPr>
          <w:color w:val="FF0000"/>
        </w:rPr>
        <w:t>委托研发和合作研发的合同，需经科技行政主管部门登记</w:t>
      </w:r>
      <w:r>
        <w:t>。</w:t>
      </w:r>
    </w:p>
    <w:p w14:paraId="735085DD">
      <w:pPr>
        <w:spacing w:after="85" w:line="259" w:lineRule="auto"/>
        <w:ind w:left="559" w:right="0" w:firstLine="0"/>
      </w:pPr>
      <w:r>
        <w:t>2.税企双方对研发项目有异议的由税务机关转请科技部门鉴定</w:t>
      </w:r>
    </w:p>
    <w:p w14:paraId="5B4663E4">
      <w:pPr>
        <w:ind w:left="-15" w:right="0"/>
      </w:pPr>
      <w:r>
        <w:t>财税〔2015〕119号规定，税务机关对企业享受加计扣除优惠的研发项目有异议的，可以转请地市级（含）以上科技行政主管部门出具鉴定意见，科技部门应及时回复意见。企业承担</w:t>
      </w:r>
      <w:r>
        <w:rPr>
          <w:color w:val="FF0000"/>
        </w:rPr>
        <w:t>省部级（含）以上科研项目的，以及以前年度已鉴定的跨年度研发项目，不再需要鉴定</w:t>
      </w:r>
      <w:r>
        <w:t>。</w:t>
      </w:r>
    </w:p>
    <w:p w14:paraId="559D8709">
      <w:pPr>
        <w:ind w:left="-15" w:right="0"/>
      </w:pPr>
      <w:r>
        <w:t>《科技部 财政部 国家税务总局关于进一步做好企业研发费用加计扣除政策落实工作的通知》（国科发政〔2017〕211号）规定，税务部门事中、事后对企业享受加计扣除优惠的研发项目有异议的，应及时通过县（区）级科技部门将项目资料送地市级（含）以上科技部门进行鉴定；由省直接管理的县、市，可直接由县级科技部门进行鉴定。鉴定部门在收到税务部门的鉴定需求后，应及时组织专家进行鉴定，并在规定时间内通过原渠道将鉴定意见反馈税务部门。鉴定时，应由3名以上相关领域的产业、技术、管理等专家参加。</w:t>
      </w:r>
    </w:p>
    <w:p w14:paraId="01BE5356">
      <w:pPr>
        <w:spacing w:after="85" w:line="259" w:lineRule="auto"/>
        <w:ind w:left="559" w:right="0" w:firstLine="0"/>
      </w:pPr>
      <w:r>
        <w:t>3.当年符合条件未享受加计扣除优惠的可以追溯享受</w:t>
      </w:r>
    </w:p>
    <w:p w14:paraId="57014CBA">
      <w:pPr>
        <w:spacing w:line="324" w:lineRule="auto"/>
        <w:ind w:left="-15" w:right="125"/>
        <w:jc w:val="both"/>
      </w:pPr>
      <w:r>
        <w:t>企业符合财税〔2015〕119号规定的研发费用加计扣除条件而在2016 年1月1日以后未及时享受该项税收优惠的，可以追溯享受，追溯期限最长为3年。</w:t>
      </w:r>
    </w:p>
    <w:sectPr>
      <w:footerReference r:id="rId10" w:type="first"/>
      <w:footerReference r:id="rId8" w:type="default"/>
      <w:footerReference r:id="rId9" w:type="even"/>
      <w:pgSz w:w="11906" w:h="16838"/>
      <w:pgMar w:top="1990" w:right="1276" w:bottom="2052" w:left="1418" w:header="720" w:footer="1529"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EE884">
    <w:pPr>
      <w:spacing w:after="160" w:line="259" w:lineRule="auto"/>
      <w:ind w:right="0"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FD73F">
    <w:pPr>
      <w:spacing w:after="160" w:line="259" w:lineRule="auto"/>
      <w:ind w:right="0"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ADEFA">
    <w:pPr>
      <w:spacing w:after="160" w:line="259" w:lineRule="auto"/>
      <w:ind w:right="0" w:firstLine="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5AC6A">
    <w:pPr>
      <w:spacing w:after="0" w:line="259" w:lineRule="auto"/>
      <w:ind w:left="219" w:right="0" w:firstLine="0"/>
      <w:jc w:val="center"/>
    </w:pPr>
    <w:r>
      <w:fldChar w:fldCharType="begin"/>
    </w:r>
    <w:r>
      <w:instrText xml:space="preserve"> PAGE   \* MERGEFORMAT </w:instrText>
    </w:r>
    <w:r>
      <w:fldChar w:fldCharType="separate"/>
    </w:r>
    <w:r>
      <w:rPr>
        <w:rFonts w:ascii="Times New Roman" w:hAnsi="Times New Roman" w:eastAsia="Times New Roman" w:cs="Times New Roman"/>
        <w:sz w:val="18"/>
      </w:rPr>
      <w:t>1</w:t>
    </w:r>
    <w:r>
      <w:rPr>
        <w:rFonts w:ascii="Times New Roman" w:hAnsi="Times New Roman" w:eastAsia="Times New Roman" w:cs="Times New Roman"/>
        <w:sz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BF53F">
    <w:pPr>
      <w:spacing w:after="0" w:line="259" w:lineRule="auto"/>
      <w:ind w:left="219" w:right="0" w:firstLine="0"/>
      <w:jc w:val="center"/>
    </w:pPr>
    <w:r>
      <w:fldChar w:fldCharType="begin"/>
    </w:r>
    <w:r>
      <w:instrText xml:space="preserve"> PAGE   \* MERGEFORMAT </w:instrText>
    </w:r>
    <w:r>
      <w:fldChar w:fldCharType="separate"/>
    </w:r>
    <w:r>
      <w:rPr>
        <w:rFonts w:ascii="Times New Roman" w:hAnsi="Times New Roman" w:eastAsia="Times New Roman" w:cs="Times New Roman"/>
        <w:sz w:val="18"/>
      </w:rPr>
      <w:t>1</w:t>
    </w:r>
    <w:r>
      <w:rPr>
        <w:rFonts w:ascii="Times New Roman" w:hAnsi="Times New Roman" w:eastAsia="Times New Roman" w:cs="Times New Roman"/>
        <w:sz w:val="1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E06F4">
    <w:pPr>
      <w:spacing w:after="0" w:line="259" w:lineRule="auto"/>
      <w:ind w:left="219" w:right="0" w:firstLine="0"/>
      <w:jc w:val="center"/>
    </w:pPr>
    <w:r>
      <w:fldChar w:fldCharType="begin"/>
    </w:r>
    <w:r>
      <w:instrText xml:space="preserve"> PAGE   \* MERGEFORMAT </w:instrText>
    </w:r>
    <w:r>
      <w:fldChar w:fldCharType="separate"/>
    </w:r>
    <w:r>
      <w:rPr>
        <w:rFonts w:ascii="Times New Roman" w:hAnsi="Times New Roman" w:eastAsia="Times New Roman" w:cs="Times New Roman"/>
        <w:sz w:val="18"/>
      </w:rPr>
      <w:t>1</w:t>
    </w:r>
    <w:r>
      <w:rPr>
        <w:rFonts w:ascii="Times New Roman" w:hAnsi="Times New Roman" w:eastAsia="Times New Roman" w:cs="Times New Roman"/>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25" w:lineRule="auto"/>
      </w:pPr>
      <w:r>
        <w:separator/>
      </w:r>
    </w:p>
  </w:footnote>
  <w:footnote w:type="continuationSeparator" w:id="1">
    <w:p>
      <w:pPr>
        <w:spacing w:before="0" w:after="0" w:line="325"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BB40C9"/>
    <w:multiLevelType w:val="multilevel"/>
    <w:tmpl w:val="0BBB40C9"/>
    <w:lvl w:ilvl="0" w:tentative="0">
      <w:start w:val="1"/>
      <w:numFmt w:val="decimal"/>
      <w:lvlText w:val="（%1）"/>
      <w:lvlJc w:val="left"/>
      <w:pPr>
        <w:ind w:left="0"/>
      </w:pPr>
      <w:rPr>
        <w:rFonts w:ascii="仿宋" w:hAnsi="仿宋" w:eastAsia="仿宋" w:cs="仿宋"/>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1639"/>
      </w:pPr>
      <w:rPr>
        <w:rFonts w:ascii="仿宋" w:hAnsi="仿宋" w:eastAsia="仿宋" w:cs="仿宋"/>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2359"/>
      </w:pPr>
      <w:rPr>
        <w:rFonts w:ascii="仿宋" w:hAnsi="仿宋" w:eastAsia="仿宋" w:cs="仿宋"/>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3079"/>
      </w:pPr>
      <w:rPr>
        <w:rFonts w:ascii="仿宋" w:hAnsi="仿宋" w:eastAsia="仿宋" w:cs="仿宋"/>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799"/>
      </w:pPr>
      <w:rPr>
        <w:rFonts w:ascii="仿宋" w:hAnsi="仿宋" w:eastAsia="仿宋" w:cs="仿宋"/>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4519"/>
      </w:pPr>
      <w:rPr>
        <w:rFonts w:ascii="仿宋" w:hAnsi="仿宋" w:eastAsia="仿宋" w:cs="仿宋"/>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5239"/>
      </w:pPr>
      <w:rPr>
        <w:rFonts w:ascii="仿宋" w:hAnsi="仿宋" w:eastAsia="仿宋" w:cs="仿宋"/>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959"/>
      </w:pPr>
      <w:rPr>
        <w:rFonts w:ascii="仿宋" w:hAnsi="仿宋" w:eastAsia="仿宋" w:cs="仿宋"/>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6679"/>
      </w:pPr>
      <w:rPr>
        <w:rFonts w:ascii="仿宋" w:hAnsi="仿宋" w:eastAsia="仿宋" w:cs="仿宋"/>
        <w:b w:val="0"/>
        <w:i w:val="0"/>
        <w:strike w:val="0"/>
        <w:dstrike w:val="0"/>
        <w:color w:val="000000"/>
        <w:sz w:val="28"/>
        <w:szCs w:val="28"/>
        <w:u w:val="none" w:color="000000"/>
        <w:shd w:val="clear" w:color="auto" w:fill="auto"/>
        <w:vertAlign w:val="baseline"/>
      </w:rPr>
    </w:lvl>
  </w:abstractNum>
  <w:abstractNum w:abstractNumId="1">
    <w:nsid w:val="11C30ECE"/>
    <w:multiLevelType w:val="multilevel"/>
    <w:tmpl w:val="11C30ECE"/>
    <w:lvl w:ilvl="0" w:tentative="0">
      <w:start w:val="1"/>
      <w:numFmt w:val="decimal"/>
      <w:lvlText w:val="（%1）"/>
      <w:lvlJc w:val="left"/>
      <w:pPr>
        <w:ind w:left="0"/>
      </w:pPr>
      <w:rPr>
        <w:rFonts w:ascii="仿宋" w:hAnsi="仿宋" w:eastAsia="仿宋" w:cs="仿宋"/>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1639"/>
      </w:pPr>
      <w:rPr>
        <w:rFonts w:ascii="仿宋" w:hAnsi="仿宋" w:eastAsia="仿宋" w:cs="仿宋"/>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2359"/>
      </w:pPr>
      <w:rPr>
        <w:rFonts w:ascii="仿宋" w:hAnsi="仿宋" w:eastAsia="仿宋" w:cs="仿宋"/>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3079"/>
      </w:pPr>
      <w:rPr>
        <w:rFonts w:ascii="仿宋" w:hAnsi="仿宋" w:eastAsia="仿宋" w:cs="仿宋"/>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799"/>
      </w:pPr>
      <w:rPr>
        <w:rFonts w:ascii="仿宋" w:hAnsi="仿宋" w:eastAsia="仿宋" w:cs="仿宋"/>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4519"/>
      </w:pPr>
      <w:rPr>
        <w:rFonts w:ascii="仿宋" w:hAnsi="仿宋" w:eastAsia="仿宋" w:cs="仿宋"/>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5239"/>
      </w:pPr>
      <w:rPr>
        <w:rFonts w:ascii="仿宋" w:hAnsi="仿宋" w:eastAsia="仿宋" w:cs="仿宋"/>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959"/>
      </w:pPr>
      <w:rPr>
        <w:rFonts w:ascii="仿宋" w:hAnsi="仿宋" w:eastAsia="仿宋" w:cs="仿宋"/>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6679"/>
      </w:pPr>
      <w:rPr>
        <w:rFonts w:ascii="仿宋" w:hAnsi="仿宋" w:eastAsia="仿宋" w:cs="仿宋"/>
        <w:b w:val="0"/>
        <w:i w:val="0"/>
        <w:strike w:val="0"/>
        <w:dstrike w:val="0"/>
        <w:color w:val="000000"/>
        <w:sz w:val="28"/>
        <w:szCs w:val="28"/>
        <w:u w:val="none" w:color="000000"/>
        <w:shd w:val="clear" w:color="auto" w:fill="auto"/>
        <w:vertAlign w:val="baseline"/>
      </w:rPr>
    </w:lvl>
  </w:abstractNum>
  <w:abstractNum w:abstractNumId="2">
    <w:nsid w:val="19FC102B"/>
    <w:multiLevelType w:val="multilevel"/>
    <w:tmpl w:val="19FC102B"/>
    <w:lvl w:ilvl="0" w:tentative="0">
      <w:start w:val="3"/>
      <w:numFmt w:val="decimal"/>
      <w:lvlText w:val="%1."/>
      <w:lvlJc w:val="left"/>
      <w:pPr>
        <w:ind w:left="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16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23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307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79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451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52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9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667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3">
    <w:nsid w:val="1C1A3F6C"/>
    <w:multiLevelType w:val="multilevel"/>
    <w:tmpl w:val="1C1A3F6C"/>
    <w:lvl w:ilvl="0" w:tentative="0">
      <w:start w:val="1"/>
      <w:numFmt w:val="decimalEnclosedCircle"/>
      <w:lvlText w:val="%1"/>
      <w:lvlJc w:val="left"/>
      <w:pPr>
        <w:ind w:left="559"/>
      </w:pPr>
      <w:rPr>
        <w:rFonts w:ascii="仿宋" w:hAnsi="仿宋" w:eastAsia="仿宋" w:cs="仿宋"/>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1639"/>
      </w:pPr>
      <w:rPr>
        <w:rFonts w:ascii="仿宋" w:hAnsi="仿宋" w:eastAsia="仿宋" w:cs="仿宋"/>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2359"/>
      </w:pPr>
      <w:rPr>
        <w:rFonts w:ascii="仿宋" w:hAnsi="仿宋" w:eastAsia="仿宋" w:cs="仿宋"/>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3079"/>
      </w:pPr>
      <w:rPr>
        <w:rFonts w:ascii="仿宋" w:hAnsi="仿宋" w:eastAsia="仿宋" w:cs="仿宋"/>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799"/>
      </w:pPr>
      <w:rPr>
        <w:rFonts w:ascii="仿宋" w:hAnsi="仿宋" w:eastAsia="仿宋" w:cs="仿宋"/>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4519"/>
      </w:pPr>
      <w:rPr>
        <w:rFonts w:ascii="仿宋" w:hAnsi="仿宋" w:eastAsia="仿宋" w:cs="仿宋"/>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5239"/>
      </w:pPr>
      <w:rPr>
        <w:rFonts w:ascii="仿宋" w:hAnsi="仿宋" w:eastAsia="仿宋" w:cs="仿宋"/>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959"/>
      </w:pPr>
      <w:rPr>
        <w:rFonts w:ascii="仿宋" w:hAnsi="仿宋" w:eastAsia="仿宋" w:cs="仿宋"/>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6679"/>
      </w:pPr>
      <w:rPr>
        <w:rFonts w:ascii="仿宋" w:hAnsi="仿宋" w:eastAsia="仿宋" w:cs="仿宋"/>
        <w:b w:val="0"/>
        <w:i w:val="0"/>
        <w:strike w:val="0"/>
        <w:dstrike w:val="0"/>
        <w:color w:val="000000"/>
        <w:sz w:val="28"/>
        <w:szCs w:val="28"/>
        <w:u w:val="none" w:color="000000"/>
        <w:shd w:val="clear" w:color="auto" w:fill="auto"/>
        <w:vertAlign w:val="baseline"/>
      </w:rPr>
    </w:lvl>
  </w:abstractNum>
  <w:abstractNum w:abstractNumId="4">
    <w:nsid w:val="289235D4"/>
    <w:multiLevelType w:val="multilevel"/>
    <w:tmpl w:val="289235D4"/>
    <w:lvl w:ilvl="0" w:tentative="0">
      <w:start w:val="1"/>
      <w:numFmt w:val="decimal"/>
      <w:lvlText w:val="（%1）"/>
      <w:lvlJc w:val="left"/>
      <w:pPr>
        <w:ind w:left="0"/>
      </w:pPr>
      <w:rPr>
        <w:rFonts w:ascii="仿宋" w:hAnsi="仿宋" w:eastAsia="仿宋" w:cs="仿宋"/>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1639"/>
      </w:pPr>
      <w:rPr>
        <w:rFonts w:ascii="仿宋" w:hAnsi="仿宋" w:eastAsia="仿宋" w:cs="仿宋"/>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2359"/>
      </w:pPr>
      <w:rPr>
        <w:rFonts w:ascii="仿宋" w:hAnsi="仿宋" w:eastAsia="仿宋" w:cs="仿宋"/>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3079"/>
      </w:pPr>
      <w:rPr>
        <w:rFonts w:ascii="仿宋" w:hAnsi="仿宋" w:eastAsia="仿宋" w:cs="仿宋"/>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799"/>
      </w:pPr>
      <w:rPr>
        <w:rFonts w:ascii="仿宋" w:hAnsi="仿宋" w:eastAsia="仿宋" w:cs="仿宋"/>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4519"/>
      </w:pPr>
      <w:rPr>
        <w:rFonts w:ascii="仿宋" w:hAnsi="仿宋" w:eastAsia="仿宋" w:cs="仿宋"/>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5239"/>
      </w:pPr>
      <w:rPr>
        <w:rFonts w:ascii="仿宋" w:hAnsi="仿宋" w:eastAsia="仿宋" w:cs="仿宋"/>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959"/>
      </w:pPr>
      <w:rPr>
        <w:rFonts w:ascii="仿宋" w:hAnsi="仿宋" w:eastAsia="仿宋" w:cs="仿宋"/>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6679"/>
      </w:pPr>
      <w:rPr>
        <w:rFonts w:ascii="仿宋" w:hAnsi="仿宋" w:eastAsia="仿宋" w:cs="仿宋"/>
        <w:b w:val="0"/>
        <w:i w:val="0"/>
        <w:strike w:val="0"/>
        <w:dstrike w:val="0"/>
        <w:color w:val="000000"/>
        <w:sz w:val="28"/>
        <w:szCs w:val="28"/>
        <w:u w:val="none" w:color="000000"/>
        <w:shd w:val="clear" w:color="auto" w:fill="auto"/>
        <w:vertAlign w:val="baseline"/>
      </w:rPr>
    </w:lvl>
  </w:abstractNum>
  <w:abstractNum w:abstractNumId="5">
    <w:nsid w:val="2AA52A6B"/>
    <w:multiLevelType w:val="multilevel"/>
    <w:tmpl w:val="2AA52A6B"/>
    <w:lvl w:ilvl="0" w:tentative="0">
      <w:start w:val="1"/>
      <w:numFmt w:val="decimal"/>
      <w:lvlText w:val="（%1）"/>
      <w:lvlJc w:val="left"/>
      <w:pPr>
        <w:ind w:left="0"/>
      </w:pPr>
      <w:rPr>
        <w:rFonts w:ascii="仿宋" w:hAnsi="仿宋" w:eastAsia="仿宋" w:cs="仿宋"/>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1639"/>
      </w:pPr>
      <w:rPr>
        <w:rFonts w:ascii="仿宋" w:hAnsi="仿宋" w:eastAsia="仿宋" w:cs="仿宋"/>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2359"/>
      </w:pPr>
      <w:rPr>
        <w:rFonts w:ascii="仿宋" w:hAnsi="仿宋" w:eastAsia="仿宋" w:cs="仿宋"/>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3079"/>
      </w:pPr>
      <w:rPr>
        <w:rFonts w:ascii="仿宋" w:hAnsi="仿宋" w:eastAsia="仿宋" w:cs="仿宋"/>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799"/>
      </w:pPr>
      <w:rPr>
        <w:rFonts w:ascii="仿宋" w:hAnsi="仿宋" w:eastAsia="仿宋" w:cs="仿宋"/>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4519"/>
      </w:pPr>
      <w:rPr>
        <w:rFonts w:ascii="仿宋" w:hAnsi="仿宋" w:eastAsia="仿宋" w:cs="仿宋"/>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5239"/>
      </w:pPr>
      <w:rPr>
        <w:rFonts w:ascii="仿宋" w:hAnsi="仿宋" w:eastAsia="仿宋" w:cs="仿宋"/>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959"/>
      </w:pPr>
      <w:rPr>
        <w:rFonts w:ascii="仿宋" w:hAnsi="仿宋" w:eastAsia="仿宋" w:cs="仿宋"/>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6679"/>
      </w:pPr>
      <w:rPr>
        <w:rFonts w:ascii="仿宋" w:hAnsi="仿宋" w:eastAsia="仿宋" w:cs="仿宋"/>
        <w:b w:val="0"/>
        <w:i w:val="0"/>
        <w:strike w:val="0"/>
        <w:dstrike w:val="0"/>
        <w:color w:val="000000"/>
        <w:sz w:val="28"/>
        <w:szCs w:val="28"/>
        <w:u w:val="none" w:color="000000"/>
        <w:shd w:val="clear" w:color="auto" w:fill="auto"/>
        <w:vertAlign w:val="baseline"/>
      </w:rPr>
    </w:lvl>
  </w:abstractNum>
  <w:abstractNum w:abstractNumId="6">
    <w:nsid w:val="2B2B453C"/>
    <w:multiLevelType w:val="multilevel"/>
    <w:tmpl w:val="2B2B453C"/>
    <w:lvl w:ilvl="0" w:tentative="0">
      <w:start w:val="1"/>
      <w:numFmt w:val="decimalEnclosedCircle"/>
      <w:lvlText w:val="%1"/>
      <w:lvlJc w:val="left"/>
      <w:pPr>
        <w:ind w:left="559"/>
      </w:pPr>
      <w:rPr>
        <w:rFonts w:ascii="仿宋" w:hAnsi="仿宋" w:eastAsia="仿宋" w:cs="仿宋"/>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1639"/>
      </w:pPr>
      <w:rPr>
        <w:rFonts w:ascii="仿宋" w:hAnsi="仿宋" w:eastAsia="仿宋" w:cs="仿宋"/>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2359"/>
      </w:pPr>
      <w:rPr>
        <w:rFonts w:ascii="仿宋" w:hAnsi="仿宋" w:eastAsia="仿宋" w:cs="仿宋"/>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3079"/>
      </w:pPr>
      <w:rPr>
        <w:rFonts w:ascii="仿宋" w:hAnsi="仿宋" w:eastAsia="仿宋" w:cs="仿宋"/>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799"/>
      </w:pPr>
      <w:rPr>
        <w:rFonts w:ascii="仿宋" w:hAnsi="仿宋" w:eastAsia="仿宋" w:cs="仿宋"/>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4519"/>
      </w:pPr>
      <w:rPr>
        <w:rFonts w:ascii="仿宋" w:hAnsi="仿宋" w:eastAsia="仿宋" w:cs="仿宋"/>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5239"/>
      </w:pPr>
      <w:rPr>
        <w:rFonts w:ascii="仿宋" w:hAnsi="仿宋" w:eastAsia="仿宋" w:cs="仿宋"/>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959"/>
      </w:pPr>
      <w:rPr>
        <w:rFonts w:ascii="仿宋" w:hAnsi="仿宋" w:eastAsia="仿宋" w:cs="仿宋"/>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6679"/>
      </w:pPr>
      <w:rPr>
        <w:rFonts w:ascii="仿宋" w:hAnsi="仿宋" w:eastAsia="仿宋" w:cs="仿宋"/>
        <w:b w:val="0"/>
        <w:i w:val="0"/>
        <w:strike w:val="0"/>
        <w:dstrike w:val="0"/>
        <w:color w:val="000000"/>
        <w:sz w:val="28"/>
        <w:szCs w:val="28"/>
        <w:u w:val="none" w:color="000000"/>
        <w:shd w:val="clear" w:color="auto" w:fill="auto"/>
        <w:vertAlign w:val="baseline"/>
      </w:rPr>
    </w:lvl>
  </w:abstractNum>
  <w:abstractNum w:abstractNumId="7">
    <w:nsid w:val="3D3153EA"/>
    <w:multiLevelType w:val="multilevel"/>
    <w:tmpl w:val="3D3153EA"/>
    <w:lvl w:ilvl="0" w:tentative="0">
      <w:start w:val="1"/>
      <w:numFmt w:val="decimal"/>
      <w:lvlText w:val="（%1）"/>
      <w:lvlJc w:val="left"/>
      <w:pPr>
        <w:ind w:left="0"/>
      </w:pPr>
      <w:rPr>
        <w:rFonts w:ascii="仿宋" w:hAnsi="仿宋" w:eastAsia="仿宋" w:cs="仿宋"/>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1639"/>
      </w:pPr>
      <w:rPr>
        <w:rFonts w:ascii="仿宋" w:hAnsi="仿宋" w:eastAsia="仿宋" w:cs="仿宋"/>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2359"/>
      </w:pPr>
      <w:rPr>
        <w:rFonts w:ascii="仿宋" w:hAnsi="仿宋" w:eastAsia="仿宋" w:cs="仿宋"/>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3079"/>
      </w:pPr>
      <w:rPr>
        <w:rFonts w:ascii="仿宋" w:hAnsi="仿宋" w:eastAsia="仿宋" w:cs="仿宋"/>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799"/>
      </w:pPr>
      <w:rPr>
        <w:rFonts w:ascii="仿宋" w:hAnsi="仿宋" w:eastAsia="仿宋" w:cs="仿宋"/>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4519"/>
      </w:pPr>
      <w:rPr>
        <w:rFonts w:ascii="仿宋" w:hAnsi="仿宋" w:eastAsia="仿宋" w:cs="仿宋"/>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5239"/>
      </w:pPr>
      <w:rPr>
        <w:rFonts w:ascii="仿宋" w:hAnsi="仿宋" w:eastAsia="仿宋" w:cs="仿宋"/>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959"/>
      </w:pPr>
      <w:rPr>
        <w:rFonts w:ascii="仿宋" w:hAnsi="仿宋" w:eastAsia="仿宋" w:cs="仿宋"/>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6679"/>
      </w:pPr>
      <w:rPr>
        <w:rFonts w:ascii="仿宋" w:hAnsi="仿宋" w:eastAsia="仿宋" w:cs="仿宋"/>
        <w:b w:val="0"/>
        <w:i w:val="0"/>
        <w:strike w:val="0"/>
        <w:dstrike w:val="0"/>
        <w:color w:val="000000"/>
        <w:sz w:val="28"/>
        <w:szCs w:val="28"/>
        <w:u w:val="none" w:color="000000"/>
        <w:shd w:val="clear" w:color="auto" w:fill="auto"/>
        <w:vertAlign w:val="baseline"/>
      </w:rPr>
    </w:lvl>
  </w:abstractNum>
  <w:abstractNum w:abstractNumId="8">
    <w:nsid w:val="43E31BC0"/>
    <w:multiLevelType w:val="multilevel"/>
    <w:tmpl w:val="43E31BC0"/>
    <w:lvl w:ilvl="0" w:tentative="0">
      <w:start w:val="1"/>
      <w:numFmt w:val="decimal"/>
      <w:lvlText w:val="（%1）"/>
      <w:lvlJc w:val="left"/>
      <w:pPr>
        <w:ind w:left="559"/>
      </w:pPr>
      <w:rPr>
        <w:rFonts w:ascii="仿宋" w:hAnsi="仿宋" w:eastAsia="仿宋" w:cs="仿宋"/>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1639"/>
      </w:pPr>
      <w:rPr>
        <w:rFonts w:ascii="仿宋" w:hAnsi="仿宋" w:eastAsia="仿宋" w:cs="仿宋"/>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2359"/>
      </w:pPr>
      <w:rPr>
        <w:rFonts w:ascii="仿宋" w:hAnsi="仿宋" w:eastAsia="仿宋" w:cs="仿宋"/>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3079"/>
      </w:pPr>
      <w:rPr>
        <w:rFonts w:ascii="仿宋" w:hAnsi="仿宋" w:eastAsia="仿宋" w:cs="仿宋"/>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799"/>
      </w:pPr>
      <w:rPr>
        <w:rFonts w:ascii="仿宋" w:hAnsi="仿宋" w:eastAsia="仿宋" w:cs="仿宋"/>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4519"/>
      </w:pPr>
      <w:rPr>
        <w:rFonts w:ascii="仿宋" w:hAnsi="仿宋" w:eastAsia="仿宋" w:cs="仿宋"/>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5239"/>
      </w:pPr>
      <w:rPr>
        <w:rFonts w:ascii="仿宋" w:hAnsi="仿宋" w:eastAsia="仿宋" w:cs="仿宋"/>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959"/>
      </w:pPr>
      <w:rPr>
        <w:rFonts w:ascii="仿宋" w:hAnsi="仿宋" w:eastAsia="仿宋" w:cs="仿宋"/>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6679"/>
      </w:pPr>
      <w:rPr>
        <w:rFonts w:ascii="仿宋" w:hAnsi="仿宋" w:eastAsia="仿宋" w:cs="仿宋"/>
        <w:b w:val="0"/>
        <w:i w:val="0"/>
        <w:strike w:val="0"/>
        <w:dstrike w:val="0"/>
        <w:color w:val="000000"/>
        <w:sz w:val="28"/>
        <w:szCs w:val="28"/>
        <w:u w:val="none" w:color="000000"/>
        <w:shd w:val="clear" w:color="auto" w:fill="auto"/>
        <w:vertAlign w:val="baseline"/>
      </w:rPr>
    </w:lvl>
  </w:abstractNum>
  <w:abstractNum w:abstractNumId="9">
    <w:nsid w:val="45B62C4B"/>
    <w:multiLevelType w:val="multilevel"/>
    <w:tmpl w:val="45B62C4B"/>
    <w:lvl w:ilvl="0" w:tentative="0">
      <w:start w:val="1"/>
      <w:numFmt w:val="decimal"/>
      <w:lvlText w:val="（%1）"/>
      <w:lvlJc w:val="left"/>
      <w:pPr>
        <w:ind w:left="0"/>
      </w:pPr>
      <w:rPr>
        <w:rFonts w:ascii="仿宋" w:hAnsi="仿宋" w:eastAsia="仿宋" w:cs="仿宋"/>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1639"/>
      </w:pPr>
      <w:rPr>
        <w:rFonts w:ascii="仿宋" w:hAnsi="仿宋" w:eastAsia="仿宋" w:cs="仿宋"/>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2359"/>
      </w:pPr>
      <w:rPr>
        <w:rFonts w:ascii="仿宋" w:hAnsi="仿宋" w:eastAsia="仿宋" w:cs="仿宋"/>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3079"/>
      </w:pPr>
      <w:rPr>
        <w:rFonts w:ascii="仿宋" w:hAnsi="仿宋" w:eastAsia="仿宋" w:cs="仿宋"/>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799"/>
      </w:pPr>
      <w:rPr>
        <w:rFonts w:ascii="仿宋" w:hAnsi="仿宋" w:eastAsia="仿宋" w:cs="仿宋"/>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4519"/>
      </w:pPr>
      <w:rPr>
        <w:rFonts w:ascii="仿宋" w:hAnsi="仿宋" w:eastAsia="仿宋" w:cs="仿宋"/>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5239"/>
      </w:pPr>
      <w:rPr>
        <w:rFonts w:ascii="仿宋" w:hAnsi="仿宋" w:eastAsia="仿宋" w:cs="仿宋"/>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959"/>
      </w:pPr>
      <w:rPr>
        <w:rFonts w:ascii="仿宋" w:hAnsi="仿宋" w:eastAsia="仿宋" w:cs="仿宋"/>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6679"/>
      </w:pPr>
      <w:rPr>
        <w:rFonts w:ascii="仿宋" w:hAnsi="仿宋" w:eastAsia="仿宋" w:cs="仿宋"/>
        <w:b w:val="0"/>
        <w:i w:val="0"/>
        <w:strike w:val="0"/>
        <w:dstrike w:val="0"/>
        <w:color w:val="000000"/>
        <w:sz w:val="28"/>
        <w:szCs w:val="28"/>
        <w:u w:val="none" w:color="000000"/>
        <w:shd w:val="clear" w:color="auto" w:fill="auto"/>
        <w:vertAlign w:val="baseline"/>
      </w:rPr>
    </w:lvl>
  </w:abstractNum>
  <w:abstractNum w:abstractNumId="10">
    <w:nsid w:val="4D4057B2"/>
    <w:multiLevelType w:val="multilevel"/>
    <w:tmpl w:val="4D4057B2"/>
    <w:lvl w:ilvl="0" w:tentative="0">
      <w:start w:val="4"/>
      <w:numFmt w:val="decimal"/>
      <w:lvlText w:val="（%1）"/>
      <w:lvlJc w:val="left"/>
      <w:pPr>
        <w:ind w:left="272"/>
      </w:pPr>
      <w:rPr>
        <w:rFonts w:ascii="仿宋" w:hAnsi="仿宋" w:eastAsia="仿宋" w:cs="仿宋"/>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1639"/>
      </w:pPr>
      <w:rPr>
        <w:rFonts w:ascii="仿宋" w:hAnsi="仿宋" w:eastAsia="仿宋" w:cs="仿宋"/>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2359"/>
      </w:pPr>
      <w:rPr>
        <w:rFonts w:ascii="仿宋" w:hAnsi="仿宋" w:eastAsia="仿宋" w:cs="仿宋"/>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3079"/>
      </w:pPr>
      <w:rPr>
        <w:rFonts w:ascii="仿宋" w:hAnsi="仿宋" w:eastAsia="仿宋" w:cs="仿宋"/>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799"/>
      </w:pPr>
      <w:rPr>
        <w:rFonts w:ascii="仿宋" w:hAnsi="仿宋" w:eastAsia="仿宋" w:cs="仿宋"/>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4519"/>
      </w:pPr>
      <w:rPr>
        <w:rFonts w:ascii="仿宋" w:hAnsi="仿宋" w:eastAsia="仿宋" w:cs="仿宋"/>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5239"/>
      </w:pPr>
      <w:rPr>
        <w:rFonts w:ascii="仿宋" w:hAnsi="仿宋" w:eastAsia="仿宋" w:cs="仿宋"/>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959"/>
      </w:pPr>
      <w:rPr>
        <w:rFonts w:ascii="仿宋" w:hAnsi="仿宋" w:eastAsia="仿宋" w:cs="仿宋"/>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6679"/>
      </w:pPr>
      <w:rPr>
        <w:rFonts w:ascii="仿宋" w:hAnsi="仿宋" w:eastAsia="仿宋" w:cs="仿宋"/>
        <w:b w:val="0"/>
        <w:i w:val="0"/>
        <w:strike w:val="0"/>
        <w:dstrike w:val="0"/>
        <w:color w:val="000000"/>
        <w:sz w:val="28"/>
        <w:szCs w:val="28"/>
        <w:u w:val="none" w:color="000000"/>
        <w:shd w:val="clear" w:color="auto" w:fill="auto"/>
        <w:vertAlign w:val="baseline"/>
      </w:rPr>
    </w:lvl>
  </w:abstractNum>
  <w:abstractNum w:abstractNumId="11">
    <w:nsid w:val="4DF213CA"/>
    <w:multiLevelType w:val="multilevel"/>
    <w:tmpl w:val="4DF213CA"/>
    <w:lvl w:ilvl="0" w:tentative="0">
      <w:start w:val="1"/>
      <w:numFmt w:val="decimal"/>
      <w:lvlText w:val="（%1）"/>
      <w:lvlJc w:val="left"/>
      <w:pPr>
        <w:ind w:left="559"/>
      </w:pPr>
      <w:rPr>
        <w:rFonts w:ascii="仿宋" w:hAnsi="仿宋" w:eastAsia="仿宋" w:cs="仿宋"/>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1639"/>
      </w:pPr>
      <w:rPr>
        <w:rFonts w:ascii="仿宋" w:hAnsi="仿宋" w:eastAsia="仿宋" w:cs="仿宋"/>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2359"/>
      </w:pPr>
      <w:rPr>
        <w:rFonts w:ascii="仿宋" w:hAnsi="仿宋" w:eastAsia="仿宋" w:cs="仿宋"/>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3079"/>
      </w:pPr>
      <w:rPr>
        <w:rFonts w:ascii="仿宋" w:hAnsi="仿宋" w:eastAsia="仿宋" w:cs="仿宋"/>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799"/>
      </w:pPr>
      <w:rPr>
        <w:rFonts w:ascii="仿宋" w:hAnsi="仿宋" w:eastAsia="仿宋" w:cs="仿宋"/>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4519"/>
      </w:pPr>
      <w:rPr>
        <w:rFonts w:ascii="仿宋" w:hAnsi="仿宋" w:eastAsia="仿宋" w:cs="仿宋"/>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5239"/>
      </w:pPr>
      <w:rPr>
        <w:rFonts w:ascii="仿宋" w:hAnsi="仿宋" w:eastAsia="仿宋" w:cs="仿宋"/>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959"/>
      </w:pPr>
      <w:rPr>
        <w:rFonts w:ascii="仿宋" w:hAnsi="仿宋" w:eastAsia="仿宋" w:cs="仿宋"/>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6679"/>
      </w:pPr>
      <w:rPr>
        <w:rFonts w:ascii="仿宋" w:hAnsi="仿宋" w:eastAsia="仿宋" w:cs="仿宋"/>
        <w:b w:val="0"/>
        <w:i w:val="0"/>
        <w:strike w:val="0"/>
        <w:dstrike w:val="0"/>
        <w:color w:val="000000"/>
        <w:sz w:val="28"/>
        <w:szCs w:val="28"/>
        <w:u w:val="none" w:color="000000"/>
        <w:shd w:val="clear" w:color="auto" w:fill="auto"/>
        <w:vertAlign w:val="baseline"/>
      </w:rPr>
    </w:lvl>
  </w:abstractNum>
  <w:abstractNum w:abstractNumId="12">
    <w:nsid w:val="52635DDF"/>
    <w:multiLevelType w:val="multilevel"/>
    <w:tmpl w:val="52635DDF"/>
    <w:lvl w:ilvl="0" w:tentative="0">
      <w:start w:val="1"/>
      <w:numFmt w:val="decimal"/>
      <w:lvlText w:val="（%1）"/>
      <w:lvlJc w:val="left"/>
      <w:pPr>
        <w:ind w:left="364"/>
      </w:pPr>
      <w:rPr>
        <w:rFonts w:ascii="仿宋" w:hAnsi="仿宋" w:eastAsia="仿宋" w:cs="仿宋"/>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1639"/>
      </w:pPr>
      <w:rPr>
        <w:rFonts w:ascii="仿宋" w:hAnsi="仿宋" w:eastAsia="仿宋" w:cs="仿宋"/>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2359"/>
      </w:pPr>
      <w:rPr>
        <w:rFonts w:ascii="仿宋" w:hAnsi="仿宋" w:eastAsia="仿宋" w:cs="仿宋"/>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3079"/>
      </w:pPr>
      <w:rPr>
        <w:rFonts w:ascii="仿宋" w:hAnsi="仿宋" w:eastAsia="仿宋" w:cs="仿宋"/>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799"/>
      </w:pPr>
      <w:rPr>
        <w:rFonts w:ascii="仿宋" w:hAnsi="仿宋" w:eastAsia="仿宋" w:cs="仿宋"/>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4519"/>
      </w:pPr>
      <w:rPr>
        <w:rFonts w:ascii="仿宋" w:hAnsi="仿宋" w:eastAsia="仿宋" w:cs="仿宋"/>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5239"/>
      </w:pPr>
      <w:rPr>
        <w:rFonts w:ascii="仿宋" w:hAnsi="仿宋" w:eastAsia="仿宋" w:cs="仿宋"/>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959"/>
      </w:pPr>
      <w:rPr>
        <w:rFonts w:ascii="仿宋" w:hAnsi="仿宋" w:eastAsia="仿宋" w:cs="仿宋"/>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6679"/>
      </w:pPr>
      <w:rPr>
        <w:rFonts w:ascii="仿宋" w:hAnsi="仿宋" w:eastAsia="仿宋" w:cs="仿宋"/>
        <w:b w:val="0"/>
        <w:i w:val="0"/>
        <w:strike w:val="0"/>
        <w:dstrike w:val="0"/>
        <w:color w:val="000000"/>
        <w:sz w:val="28"/>
        <w:szCs w:val="28"/>
        <w:u w:val="none" w:color="000000"/>
        <w:shd w:val="clear" w:color="auto" w:fill="auto"/>
        <w:vertAlign w:val="baseline"/>
      </w:rPr>
    </w:lvl>
  </w:abstractNum>
  <w:abstractNum w:abstractNumId="13">
    <w:nsid w:val="610A757C"/>
    <w:multiLevelType w:val="multilevel"/>
    <w:tmpl w:val="610A757C"/>
    <w:lvl w:ilvl="0" w:tentative="0">
      <w:start w:val="1"/>
      <w:numFmt w:val="decimal"/>
      <w:lvlText w:val="%1."/>
      <w:lvlJc w:val="left"/>
      <w:pPr>
        <w:ind w:left="272"/>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16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23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307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79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451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52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9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667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14">
    <w:nsid w:val="65FF28FE"/>
    <w:multiLevelType w:val="multilevel"/>
    <w:tmpl w:val="65FF28FE"/>
    <w:lvl w:ilvl="0" w:tentative="0">
      <w:start w:val="1"/>
      <w:numFmt w:val="decimal"/>
      <w:lvlText w:val="（%1）"/>
      <w:lvlJc w:val="left"/>
      <w:pPr>
        <w:ind w:left="0"/>
      </w:pPr>
      <w:rPr>
        <w:rFonts w:ascii="仿宋" w:hAnsi="仿宋" w:eastAsia="仿宋" w:cs="仿宋"/>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1639"/>
      </w:pPr>
      <w:rPr>
        <w:rFonts w:ascii="仿宋" w:hAnsi="仿宋" w:eastAsia="仿宋" w:cs="仿宋"/>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2359"/>
      </w:pPr>
      <w:rPr>
        <w:rFonts w:ascii="仿宋" w:hAnsi="仿宋" w:eastAsia="仿宋" w:cs="仿宋"/>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3079"/>
      </w:pPr>
      <w:rPr>
        <w:rFonts w:ascii="仿宋" w:hAnsi="仿宋" w:eastAsia="仿宋" w:cs="仿宋"/>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799"/>
      </w:pPr>
      <w:rPr>
        <w:rFonts w:ascii="仿宋" w:hAnsi="仿宋" w:eastAsia="仿宋" w:cs="仿宋"/>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4519"/>
      </w:pPr>
      <w:rPr>
        <w:rFonts w:ascii="仿宋" w:hAnsi="仿宋" w:eastAsia="仿宋" w:cs="仿宋"/>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5239"/>
      </w:pPr>
      <w:rPr>
        <w:rFonts w:ascii="仿宋" w:hAnsi="仿宋" w:eastAsia="仿宋" w:cs="仿宋"/>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959"/>
      </w:pPr>
      <w:rPr>
        <w:rFonts w:ascii="仿宋" w:hAnsi="仿宋" w:eastAsia="仿宋" w:cs="仿宋"/>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6679"/>
      </w:pPr>
      <w:rPr>
        <w:rFonts w:ascii="仿宋" w:hAnsi="仿宋" w:eastAsia="仿宋" w:cs="仿宋"/>
        <w:b w:val="0"/>
        <w:i w:val="0"/>
        <w:strike w:val="0"/>
        <w:dstrike w:val="0"/>
        <w:color w:val="000000"/>
        <w:sz w:val="28"/>
        <w:szCs w:val="28"/>
        <w:u w:val="none" w:color="000000"/>
        <w:shd w:val="clear" w:color="auto" w:fill="auto"/>
        <w:vertAlign w:val="baseline"/>
      </w:rPr>
    </w:lvl>
  </w:abstractNum>
  <w:abstractNum w:abstractNumId="15">
    <w:nsid w:val="7BF5357A"/>
    <w:multiLevelType w:val="multilevel"/>
    <w:tmpl w:val="7BF5357A"/>
    <w:lvl w:ilvl="0" w:tentative="0">
      <w:start w:val="1"/>
      <w:numFmt w:val="decimal"/>
      <w:lvlText w:val="（%1）"/>
      <w:lvlJc w:val="left"/>
      <w:pPr>
        <w:ind w:left="0"/>
      </w:pPr>
      <w:rPr>
        <w:rFonts w:ascii="仿宋" w:hAnsi="仿宋" w:eastAsia="仿宋" w:cs="仿宋"/>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1639"/>
      </w:pPr>
      <w:rPr>
        <w:rFonts w:ascii="仿宋" w:hAnsi="仿宋" w:eastAsia="仿宋" w:cs="仿宋"/>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2359"/>
      </w:pPr>
      <w:rPr>
        <w:rFonts w:ascii="仿宋" w:hAnsi="仿宋" w:eastAsia="仿宋" w:cs="仿宋"/>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3079"/>
      </w:pPr>
      <w:rPr>
        <w:rFonts w:ascii="仿宋" w:hAnsi="仿宋" w:eastAsia="仿宋" w:cs="仿宋"/>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799"/>
      </w:pPr>
      <w:rPr>
        <w:rFonts w:ascii="仿宋" w:hAnsi="仿宋" w:eastAsia="仿宋" w:cs="仿宋"/>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4519"/>
      </w:pPr>
      <w:rPr>
        <w:rFonts w:ascii="仿宋" w:hAnsi="仿宋" w:eastAsia="仿宋" w:cs="仿宋"/>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5239"/>
      </w:pPr>
      <w:rPr>
        <w:rFonts w:ascii="仿宋" w:hAnsi="仿宋" w:eastAsia="仿宋" w:cs="仿宋"/>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959"/>
      </w:pPr>
      <w:rPr>
        <w:rFonts w:ascii="仿宋" w:hAnsi="仿宋" w:eastAsia="仿宋" w:cs="仿宋"/>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6679"/>
      </w:pPr>
      <w:rPr>
        <w:rFonts w:ascii="仿宋" w:hAnsi="仿宋" w:eastAsia="仿宋" w:cs="仿宋"/>
        <w:b w:val="0"/>
        <w:i w:val="0"/>
        <w:strike w:val="0"/>
        <w:dstrike w:val="0"/>
        <w:color w:val="000000"/>
        <w:sz w:val="28"/>
        <w:szCs w:val="28"/>
        <w:u w:val="none" w:color="000000"/>
        <w:shd w:val="clear" w:color="auto" w:fill="auto"/>
        <w:vertAlign w:val="baseline"/>
      </w:rPr>
    </w:lvl>
  </w:abstractNum>
  <w:num w:numId="1">
    <w:abstractNumId w:val="13"/>
  </w:num>
  <w:num w:numId="2">
    <w:abstractNumId w:val="4"/>
  </w:num>
  <w:num w:numId="3">
    <w:abstractNumId w:val="2"/>
  </w:num>
  <w:num w:numId="4">
    <w:abstractNumId w:val="15"/>
  </w:num>
  <w:num w:numId="5">
    <w:abstractNumId w:val="0"/>
  </w:num>
  <w:num w:numId="6">
    <w:abstractNumId w:val="6"/>
  </w:num>
  <w:num w:numId="7">
    <w:abstractNumId w:val="3"/>
  </w:num>
  <w:num w:numId="8">
    <w:abstractNumId w:val="14"/>
  </w:num>
  <w:num w:numId="9">
    <w:abstractNumId w:val="8"/>
  </w:num>
  <w:num w:numId="10">
    <w:abstractNumId w:val="5"/>
  </w:num>
  <w:num w:numId="11">
    <w:abstractNumId w:val="9"/>
  </w:num>
  <w:num w:numId="12">
    <w:abstractNumId w:val="12"/>
  </w:num>
  <w:num w:numId="13">
    <w:abstractNumId w:val="10"/>
  </w:num>
  <w:num w:numId="14">
    <w:abstractNumId w:val="1"/>
  </w:num>
  <w:num w:numId="15">
    <w:abstractNumId w:val="7"/>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F4E"/>
    <w:rsid w:val="006D69C1"/>
    <w:rsid w:val="00EB0CC8"/>
    <w:rsid w:val="00F13F4E"/>
    <w:rsid w:val="077A037C"/>
    <w:rsid w:val="10A8459F"/>
    <w:rsid w:val="33A44973"/>
    <w:rsid w:val="3A0915BB"/>
    <w:rsid w:val="49453C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sdException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3" w:line="325" w:lineRule="auto"/>
      <w:ind w:right="139" w:firstLine="549"/>
    </w:pPr>
    <w:rPr>
      <w:rFonts w:ascii="仿宋" w:hAnsi="仿宋" w:eastAsia="仿宋" w:cs="仿宋"/>
      <w:color w:val="000000"/>
      <w:kern w:val="2"/>
      <w:sz w:val="28"/>
      <w:szCs w:val="22"/>
      <w:lang w:val="en-US" w:eastAsia="zh-CN" w:bidi="ar-SA"/>
      <w14:ligatures w14:val="standardContextual"/>
    </w:rPr>
  </w:style>
  <w:style w:type="paragraph" w:styleId="2">
    <w:name w:val="heading 1"/>
    <w:next w:val="1"/>
    <w:link w:val="10"/>
    <w:qFormat/>
    <w:uiPriority w:val="9"/>
    <w:pPr>
      <w:keepNext/>
      <w:keepLines/>
      <w:spacing w:after="483" w:line="265" w:lineRule="auto"/>
      <w:ind w:left="10" w:right="144" w:hanging="10"/>
      <w:jc w:val="center"/>
      <w:outlineLvl w:val="0"/>
    </w:pPr>
    <w:rPr>
      <w:rFonts w:ascii="黑体" w:hAnsi="黑体" w:eastAsia="黑体" w:cs="黑体"/>
      <w:color w:val="000000"/>
      <w:kern w:val="2"/>
      <w:sz w:val="30"/>
      <w:szCs w:val="22"/>
      <w:lang w:val="en-US" w:eastAsia="zh-CN" w:bidi="ar-SA"/>
      <w14:ligatures w14:val="standardContextual"/>
    </w:rPr>
  </w:style>
  <w:style w:type="paragraph" w:styleId="3">
    <w:name w:val="heading 2"/>
    <w:next w:val="1"/>
    <w:link w:val="9"/>
    <w:unhideWhenUsed/>
    <w:qFormat/>
    <w:uiPriority w:val="9"/>
    <w:pPr>
      <w:keepNext/>
      <w:keepLines/>
      <w:spacing w:after="269" w:line="259" w:lineRule="auto"/>
      <w:ind w:left="569" w:hanging="10"/>
      <w:outlineLvl w:val="1"/>
    </w:pPr>
    <w:rPr>
      <w:rFonts w:ascii="楷体" w:hAnsi="楷体" w:eastAsia="楷体" w:cs="楷体"/>
      <w:color w:val="000000"/>
      <w:kern w:val="2"/>
      <w:sz w:val="28"/>
      <w:szCs w:val="22"/>
      <w:lang w:val="en-US" w:eastAsia="zh-CN" w:bidi="ar-SA"/>
      <w14:ligatures w14:val="standardContextual"/>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header"/>
    <w:basedOn w:val="1"/>
    <w:link w:val="12"/>
    <w:unhideWhenUsed/>
    <w:uiPriority w:val="99"/>
    <w:pPr>
      <w:tabs>
        <w:tab w:val="center" w:pos="4153"/>
        <w:tab w:val="right" w:pos="8306"/>
      </w:tabs>
      <w:snapToGrid w:val="0"/>
      <w:spacing w:line="240" w:lineRule="auto"/>
      <w:jc w:val="center"/>
    </w:pPr>
    <w:rPr>
      <w:sz w:val="18"/>
      <w:szCs w:val="18"/>
    </w:rPr>
  </w:style>
  <w:style w:type="paragraph" w:styleId="5">
    <w:name w:val="toc 1"/>
    <w:next w:val="1"/>
    <w:hidden/>
    <w:uiPriority w:val="0"/>
    <w:pPr>
      <w:spacing w:after="42" w:line="259" w:lineRule="auto"/>
      <w:ind w:left="454" w:right="249" w:firstLine="562"/>
    </w:pPr>
    <w:rPr>
      <w:rFonts w:ascii="Times New Roman" w:hAnsi="Times New Roman" w:eastAsia="Times New Roman" w:cs="Times New Roman"/>
      <w:color w:val="000000"/>
      <w:kern w:val="2"/>
      <w:sz w:val="20"/>
      <w:szCs w:val="22"/>
      <w:lang w:val="en-US" w:eastAsia="zh-CN" w:bidi="ar-SA"/>
      <w14:ligatures w14:val="standardContextual"/>
    </w:rPr>
  </w:style>
  <w:style w:type="paragraph" w:styleId="6">
    <w:name w:val="toc 2"/>
    <w:next w:val="1"/>
    <w:hidden/>
    <w:uiPriority w:val="0"/>
    <w:pPr>
      <w:spacing w:after="42" w:line="259" w:lineRule="auto"/>
      <w:ind w:left="1026" w:right="249" w:hanging="10"/>
    </w:pPr>
    <w:rPr>
      <w:rFonts w:ascii="Times New Roman" w:hAnsi="Times New Roman" w:eastAsia="Times New Roman" w:cs="Times New Roman"/>
      <w:color w:val="000000"/>
      <w:kern w:val="2"/>
      <w:sz w:val="20"/>
      <w:szCs w:val="22"/>
      <w:lang w:val="en-US" w:eastAsia="zh-CN" w:bidi="ar-SA"/>
      <w14:ligatures w14:val="standardContextual"/>
    </w:rPr>
  </w:style>
  <w:style w:type="character" w:customStyle="1" w:styleId="9">
    <w:name w:val="标题 2 字符"/>
    <w:link w:val="3"/>
    <w:uiPriority w:val="0"/>
    <w:rPr>
      <w:rFonts w:ascii="楷体" w:hAnsi="楷体" w:eastAsia="楷体" w:cs="楷体"/>
      <w:color w:val="000000"/>
      <w:sz w:val="28"/>
    </w:rPr>
  </w:style>
  <w:style w:type="character" w:customStyle="1" w:styleId="10">
    <w:name w:val="标题 1 字符"/>
    <w:link w:val="2"/>
    <w:uiPriority w:val="0"/>
    <w:rPr>
      <w:rFonts w:ascii="黑体" w:hAnsi="黑体" w:eastAsia="黑体" w:cs="黑体"/>
      <w:color w:val="000000"/>
      <w:sz w:val="30"/>
    </w:rPr>
  </w:style>
  <w:style w:type="table" w:customStyle="1" w:styleId="11">
    <w:name w:val="TableGrid"/>
    <w:uiPriority w:val="0"/>
    <w:tblPr>
      <w:tblCellMar>
        <w:top w:w="0" w:type="dxa"/>
        <w:left w:w="0" w:type="dxa"/>
        <w:bottom w:w="0" w:type="dxa"/>
        <w:right w:w="0" w:type="dxa"/>
      </w:tblCellMar>
    </w:tblPr>
  </w:style>
  <w:style w:type="character" w:customStyle="1" w:styleId="12">
    <w:name w:val="页眉 字符"/>
    <w:basedOn w:val="8"/>
    <w:link w:val="4"/>
    <w:qFormat/>
    <w:uiPriority w:val="99"/>
    <w:rPr>
      <w:rFonts w:ascii="仿宋" w:hAnsi="仿宋" w:eastAsia="仿宋" w:cs="仿宋"/>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2.pn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40</Pages>
  <Words>1758</Words>
  <Characters>1819</Characters>
  <Lines>173</Lines>
  <Paragraphs>48</Paragraphs>
  <TotalTime>157</TotalTime>
  <ScaleCrop>false</ScaleCrop>
  <LinksUpToDate>false</LinksUpToDate>
  <CharactersWithSpaces>1929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2023-07-08T00:03:00Z</dcterms:created>
  <dc:creator>lly</dc:creator>
  <cp:lastModifiedBy>默默</cp:lastModifiedBy>
  <dcterms:modified xsi:type="dcterms:W3CDTF">2026-10-08T13:34:20Z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eyJoZGlkIjoiYWI0MTczMTlmZGQwMDlkNjE0Y2E2NDViNmNjNWY1ZmYiLCJ1c2VySWQiOiI3MzkzMzY4MTcifQ==</vt:lpwstr>
  </property>
  <property fmtid="{D5CDD505-2E9C-101B-9397-08002B2CF9AE}" pid="4" name="ICV">
    <vt:lpwstr>93A22D30F4DE41D19FB7F1E4021093AB_12</vt:lpwstr>
  </property>
</Properties>
</file>