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BC17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bookmarkStart w:id="0" w:name="_GoBack"/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示例八 ：境外盈利弥补境内亏损时，境外已缴税额的处理</w:t>
      </w:r>
    </w:p>
    <w:bookmarkEnd w:id="0"/>
    <w:p w14:paraId="28A8B370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52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表一 </w:t>
      </w:r>
      <w:r>
        <w:rPr>
          <w:rFonts w:hint="eastAsia" w:ascii="宋体" w:hAnsi="宋体" w:eastAsia="宋体" w:cs="宋体"/>
          <w:b/>
          <w:color w:val="8000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800000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  <w:r>
        <w:rPr>
          <w:rFonts w:hint="eastAsia" w:ascii="宋体" w:hAnsi="宋体" w:eastAsia="宋体" w:cs="宋体"/>
          <w:b/>
          <w:sz w:val="24"/>
          <w:szCs w:val="24"/>
        </w:rPr>
        <w:t xml:space="preserve">          金额单位：万元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475"/>
        <w:gridCol w:w="1492"/>
        <w:gridCol w:w="1440"/>
        <w:gridCol w:w="1286"/>
        <w:gridCol w:w="1368"/>
      </w:tblGrid>
      <w:tr w14:paraId="2E1D0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4A9CD0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2D9C5C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境内企业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FA15B7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境外营业机构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3170A6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境外已纳税额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90CBC0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抵免限额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8F4A13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结转以后年度抵免余额</w:t>
            </w:r>
          </w:p>
        </w:tc>
      </w:tr>
      <w:tr w14:paraId="7E280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04742D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税率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FB969D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25%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959E6E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30%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4A8E7C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DCD647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3CE947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—</w:t>
            </w:r>
          </w:p>
        </w:tc>
      </w:tr>
      <w:tr w14:paraId="57CD0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41708C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第一年利润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5F2B85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-100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8C2C5E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89B37F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F28586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0A1735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</w:tr>
      <w:tr w14:paraId="688CD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22A4A9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第二年利润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B4291E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411A1E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C3173E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8D9BF7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72CFF">
            <w:pPr>
              <w:pageBreakBefore w:val="0"/>
              <w:kinsoku/>
              <w:wordWrap/>
              <w:topLinePunct w:val="0"/>
              <w:bidi w:val="0"/>
              <w:snapToGrid/>
              <w:spacing w:before="144" w:beforeLines="50" w:beforeAutospacing="0" w:after="144" w:afterLines="50" w:afterAutospacing="0" w:line="52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35</w:t>
            </w:r>
          </w:p>
        </w:tc>
      </w:tr>
    </w:tbl>
    <w:p w14:paraId="26D3C4CD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分析：</w:t>
      </w:r>
    </w:p>
    <w:p w14:paraId="2A5EF475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color w:val="000000"/>
          <w:spacing w:val="8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第一年：应纳税所得额＝-100＋100＝0，抵免限额为0，</w:t>
      </w:r>
      <w:r>
        <w:rPr>
          <w:rFonts w:hint="eastAsia" w:ascii="宋体" w:hAnsi="宋体" w:eastAsia="宋体" w:cs="宋体"/>
          <w:color w:val="000000"/>
          <w:spacing w:val="8"/>
          <w:sz w:val="24"/>
          <w:szCs w:val="24"/>
        </w:rPr>
        <w:t>境外已缴税额结转下一年度抵补余额为30万元。</w:t>
      </w:r>
    </w:p>
    <w:p w14:paraId="6DC42F70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512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8"/>
          <w:sz w:val="24"/>
          <w:szCs w:val="24"/>
        </w:rPr>
        <w:t>第二年：</w:t>
      </w:r>
      <w:r>
        <w:rPr>
          <w:rFonts w:hint="eastAsia" w:ascii="宋体" w:hAnsi="宋体" w:eastAsia="宋体" w:cs="宋体"/>
          <w:sz w:val="24"/>
          <w:szCs w:val="24"/>
        </w:rPr>
        <w:t>应纳税所得额＝100＋100＝200万元</w:t>
      </w:r>
    </w:p>
    <w:p w14:paraId="7D62B16F">
      <w:pPr>
        <w:pageBreakBefore w:val="0"/>
        <w:tabs>
          <w:tab w:val="left" w:pos="960"/>
        </w:tabs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当年境外所得税税额=30万元</w:t>
      </w:r>
    </w:p>
    <w:p w14:paraId="5F377A01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抵免限额=200*25%*[100÷200]=25万元（﹤30万元）</w:t>
      </w:r>
    </w:p>
    <w:p w14:paraId="7206F02A">
      <w:pPr>
        <w:pageBreakBefore w:val="0"/>
        <w:tabs>
          <w:tab w:val="left" w:pos="960"/>
        </w:tabs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实际抵免境外所得税额=25万元</w:t>
      </w:r>
    </w:p>
    <w:p w14:paraId="053B5DFD">
      <w:pPr>
        <w:pageBreakBefore w:val="0"/>
        <w:kinsoku/>
        <w:wordWrap/>
        <w:topLinePunct w:val="0"/>
        <w:bidi w:val="0"/>
        <w:snapToGrid/>
        <w:spacing w:before="144" w:beforeLines="50" w:beforeAutospacing="0" w:after="144" w:afterLines="50" w:afterAutospacing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留待以后结转抵免税额=30-25+30=35万元</w:t>
      </w:r>
    </w:p>
    <w:p w14:paraId="2D2EE9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9F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2026-10-19T07:58:11Z</dcterms:created>
  <dc:creator>tsuser</dc:creator>
  <cp:lastModifiedBy>默默</cp:lastModifiedBy>
  <dcterms:modified xsi:type="dcterms:W3CDTF">2026-10-19T07:58:19Z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eyJoZGlkIjoiYWI0MTczMTlmZGQwMDlkNjE0Y2E2NDViNmNjNWY1ZmYiLCJ1c2VySWQiOiI3MzkzMzY4MTcifQ==</vt:lpwstr>
  </property>
  <property fmtid="{D5CDD505-2E9C-101B-9397-08002B2CF9AE}" pid="4" name="ICV">
    <vt:lpwstr>AE3C9C252F094CDFA5F2B0E7F08224C0_12</vt:lpwstr>
  </property>
</Properties>
</file>