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486D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示例十 ：境外分支机构纳税年度的判定</w:t>
      </w:r>
    </w:p>
    <w:bookmarkEnd w:id="0"/>
    <w:p w14:paraId="6D11977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某居民企业在A国的分公司，按A国法律规定，计算当期利润年度为每年10月1日至次年9月30日。</w:t>
      </w:r>
    </w:p>
    <w:p w14:paraId="68EB64C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分析：</w:t>
      </w:r>
    </w:p>
    <w:p w14:paraId="1BD4C54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该分公司按A国规定计算2009年10月1日至次年9月30日期间（即A国2009/2010年度）的营业利润及其已纳税额，应在我国2010年度计算纳税及境外税额抵免。</w:t>
      </w:r>
    </w:p>
    <w:p w14:paraId="39C019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50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2026-10-19T08:59:09Z</dcterms:created>
  <dc:creator>tsuser</dc:creator>
  <cp:lastModifiedBy>默默</cp:lastModifiedBy>
  <dcterms:modified xsi:type="dcterms:W3CDTF">2026-10-19T08:59:18Z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eyJoZGlkIjoiYWI0MTczMTlmZGQwMDlkNjE0Y2E2NDViNmNjNWY1ZmYiLCJ1c2VySWQiOiI3MzkzMzY4MTcifQ==</vt:lpwstr>
  </property>
  <property fmtid="{D5CDD505-2E9C-101B-9397-08002B2CF9AE}" pid="4" name="ICV">
    <vt:lpwstr>A2BFA9CE814F406EB807D096996D3EFA_12</vt:lpwstr>
  </property>
</Properties>
</file>