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83FD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textAlignment w:val="auto"/>
        <w:rPr>
          <w:rFonts w:hint="eastAsia" w:ascii="楷体" w:hAnsi="楷体" w:eastAsia="楷体" w:cs="楷体"/>
        </w:rPr>
      </w:pPr>
      <w:bookmarkStart w:id="0" w:name="_GoBack"/>
      <w:r>
        <w:rPr>
          <w:rFonts w:hint="eastAsia" w:ascii="楷体" w:hAnsi="楷体" w:eastAsia="楷体" w:cs="楷体"/>
        </w:rPr>
        <w:t>示例一 ：来源于境外利息收入的应纳税所得额的计算</w:t>
      </w:r>
    </w:p>
    <w:bookmarkEnd w:id="0"/>
    <w:p w14:paraId="4E2BFD0A">
      <w:pPr>
        <w:pageBreakBefore w:val="0"/>
        <w:kinsoku/>
        <w:wordWrap/>
        <w:topLinePunct w:val="0"/>
        <w:bidi w:val="0"/>
        <w:snapToGrid/>
        <w:spacing w:before="144" w:beforeLines="50" w:beforeAutospacing="0" w:after="144" w:afterLines="50" w:afterAutospacing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中国A银行向甲国某企业贷出500万元，合同约定的利率为5%。2009年A银行收到甲国企业就应付利息25万元扣除已在甲国扣缴的预提所得税2.5万元（预提所得税税率为10%）后的22.5万元税后利息。A银行应纳税所得总额为1000万元，已在应纳税所得总额中扣除的该笔境外贷款的融资成本为本金的4%。分析并计算该银行应纳税所得总额中境外利息收入的应纳税所得额：</w:t>
      </w:r>
    </w:p>
    <w:p w14:paraId="464D27C7">
      <w:pPr>
        <w:pageBreakBefore w:val="0"/>
        <w:kinsoku/>
        <w:wordWrap/>
        <w:topLinePunct w:val="0"/>
        <w:bidi w:val="0"/>
        <w:snapToGrid/>
        <w:spacing w:before="144" w:beforeLines="50" w:beforeAutospacing="0" w:after="144" w:afterLines="50" w:afterAutospacing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来源于境外利息收入的应纳税所得额，应为已缴纳境外预提所得税前的就合同约定的利息收入总额，再对应调整扣除相关筹资成本费用等。</w:t>
      </w:r>
    </w:p>
    <w:p w14:paraId="27A06068">
      <w:pPr>
        <w:pageBreakBefore w:val="0"/>
        <w:kinsoku/>
        <w:wordWrap/>
        <w:topLinePunct w:val="0"/>
        <w:bidi w:val="0"/>
        <w:snapToGrid/>
        <w:spacing w:before="144" w:beforeLines="50" w:beforeAutospacing="0" w:after="144" w:afterLines="50" w:afterAutospacing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境外利息收入总额＝税后利息22.5＋已扣除税额2.5＝25万元</w:t>
      </w:r>
    </w:p>
    <w:p w14:paraId="0ADCD798">
      <w:pPr>
        <w:pageBreakBefore w:val="0"/>
        <w:kinsoku/>
        <w:wordWrap/>
        <w:topLinePunct w:val="0"/>
        <w:bidi w:val="0"/>
        <w:snapToGrid/>
        <w:spacing w:before="144" w:beforeLines="50" w:beforeAutospacing="0" w:after="144" w:afterLines="50" w:afterAutospacing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对应调整扣除相关成本费用后的应纳税所得额＝25－500×4%＝5万元</w:t>
      </w:r>
    </w:p>
    <w:p w14:paraId="47F29118">
      <w:pPr>
        <w:pageBreakBefore w:val="0"/>
        <w:kinsoku/>
        <w:wordWrap/>
        <w:topLinePunct w:val="0"/>
        <w:bidi w:val="0"/>
        <w:snapToGrid/>
        <w:spacing w:before="144" w:beforeLines="50" w:beforeAutospacing="0" w:after="144" w:afterLines="50" w:afterAutospacing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该境外利息收入用于计算境外税额抵免限额的应纳税所得额为5万元，应纳税所得总额仍为1000万元不变。</w:t>
      </w:r>
    </w:p>
    <w:p w14:paraId="33409F2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18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2026-10-19T10:34:04Z</dcterms:created>
  <dc:creator>tsuser</dc:creator>
  <cp:lastModifiedBy>默默</cp:lastModifiedBy>
  <dcterms:modified xsi:type="dcterms:W3CDTF">2026-10-19T10:34:12Z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eyJoZGlkIjoiYWI0MTczMTlmZGQwMDlkNjE0Y2E2NDViNmNjNWY1ZmYiLCJ1c2VySWQiOiI3MzkzMzY4MTcifQ==</vt:lpwstr>
  </property>
  <property fmtid="{D5CDD505-2E9C-101B-9397-08002B2CF9AE}" pid="4" name="ICV">
    <vt:lpwstr>35386D3B439243A9AD87DA32C5AE2DE4_12</vt:lpwstr>
  </property>
</Properties>
</file>