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40F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textAlignment w:val="auto"/>
        <w:rPr>
          <w:rFonts w:hint="eastAsia"/>
          <w:sz w:val="24"/>
          <w:szCs w:val="24"/>
        </w:rPr>
      </w:pPr>
      <w:bookmarkStart w:id="0" w:name="_GoBack"/>
      <w:r>
        <w:rPr>
          <w:rFonts w:hint="eastAsia"/>
          <w:sz w:val="24"/>
          <w:szCs w:val="24"/>
        </w:rPr>
        <w:t>示例二：境外分支机构亏损的弥补</w:t>
      </w:r>
    </w:p>
    <w:bookmarkEnd w:id="0"/>
    <w:p w14:paraId="6C09DE65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国居民A企业2008年度境内外净所得为160万元。其中，境内所得的应纳税所得额为300万元；设在甲国的分支机构当年度应纳税所得额为100万元；设在乙国的分支机构当年度应纳税所得额为-300万元；A企业当年度从乙国取得利息所得的应纳税所得额为60万元。调整计算该企业当年度境内、外所得的应纳税所得额如下：</w:t>
      </w:r>
    </w:p>
    <w:p w14:paraId="66B5D019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A企业当年度境内外净所得为160万元，但依据境外亏损不得在境内或他国盈利中抵减的规定，其发生在乙国分支机构的当年度亏损额300万元，仅可以用从该国取得的利息60万元弥补，未能弥补的非实际亏损额240万元，不得从当年度企业其它盈利中弥补。因此，相应调整后A企业当年境内、外应纳税所得额为：</w:t>
      </w:r>
    </w:p>
    <w:p w14:paraId="7A9797FD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境内应纳税所得额=300万元；</w:t>
      </w:r>
    </w:p>
    <w:p w14:paraId="3DAB8A0B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甲国应纳税所得额=100万元；</w:t>
      </w:r>
    </w:p>
    <w:p w14:paraId="3E62DEF2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乙国应纳税所得额=-240万元；</w:t>
      </w:r>
    </w:p>
    <w:p w14:paraId="6CAE4106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A企业当年度应纳税所得总额=400万元。</w:t>
      </w:r>
    </w:p>
    <w:p w14:paraId="0875DC3C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（2）A企业当年度境外乙国未弥补的非实际亏损共240万元，允许A企业以其来自乙国以后年度的所得无限期结转弥补。</w:t>
      </w:r>
    </w:p>
    <w:p w14:paraId="3A4D6E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E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2026-10-19T10:38:12Z</dcterms:created>
  <dc:creator>tsuser</dc:creator>
  <cp:lastModifiedBy>默默</cp:lastModifiedBy>
  <dcterms:modified xsi:type="dcterms:W3CDTF">2026-10-19T10:38:20Z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eyJoZGlkIjoiYWI0MTczMTlmZGQwMDlkNjE0Y2E2NDViNmNjNWY1ZmYiLCJ1c2VySWQiOiI3MzkzMzY4MTcifQ==</vt:lpwstr>
  </property>
  <property fmtid="{D5CDD505-2E9C-101B-9397-08002B2CF9AE}" pid="4" name="ICV">
    <vt:lpwstr>0E9B81ADC1A14905B8062A730CB020CB_12</vt:lpwstr>
  </property>
</Properties>
</file>